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36" w:rsidRDefault="00543836" w:rsidP="00543836">
      <w:pPr>
        <w:jc w:val="center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543836" w:rsidRDefault="00543836" w:rsidP="00543836">
      <w:pPr>
        <w:jc w:val="center"/>
        <w:rPr>
          <w:sz w:val="26"/>
          <w:szCs w:val="26"/>
        </w:rPr>
      </w:pPr>
      <w:r>
        <w:rPr>
          <w:sz w:val="26"/>
          <w:szCs w:val="26"/>
        </w:rPr>
        <w:t>«О работе по рассмотрению обращений граждан</w:t>
      </w:r>
    </w:p>
    <w:p w:rsidR="00543836" w:rsidRDefault="00543836" w:rsidP="005438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b/>
          <w:sz w:val="26"/>
          <w:szCs w:val="26"/>
        </w:rPr>
        <w:t>Комитете по экономическому развитию администрации города Мурманска</w:t>
      </w:r>
    </w:p>
    <w:p w:rsidR="00543836" w:rsidRDefault="00543836" w:rsidP="00543836">
      <w:pPr>
        <w:jc w:val="center"/>
        <w:rPr>
          <w:sz w:val="26"/>
          <w:szCs w:val="26"/>
        </w:rPr>
      </w:pPr>
      <w:r>
        <w:rPr>
          <w:sz w:val="26"/>
          <w:szCs w:val="26"/>
        </w:rPr>
        <w:t>за 3 квартал 2019 года в сравнении с 3 кварталом 2018 года»</w:t>
      </w:r>
    </w:p>
    <w:p w:rsidR="00543836" w:rsidRDefault="00543836" w:rsidP="00543836">
      <w:pPr>
        <w:pStyle w:val="a7"/>
        <w:spacing w:before="0" w:beforeAutospacing="0" w:after="0" w:afterAutospacing="0" w:line="276" w:lineRule="auto"/>
        <w:ind w:firstLine="709"/>
        <w:jc w:val="both"/>
        <w:rPr>
          <w:bCs/>
          <w:smallCaps/>
          <w:sz w:val="26"/>
          <w:szCs w:val="26"/>
          <w:shd w:val="clear" w:color="auto" w:fill="FCFCFC"/>
        </w:rPr>
      </w:pPr>
    </w:p>
    <w:p w:rsidR="00543836" w:rsidRDefault="00543836" w:rsidP="005438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3 квартал 2019 года в комитет по экономическому развитию поступило               18 обращений от граждан по следующим разделам: «Экономическое развитие», «Социальная сфера», «Государство, общество, политика» и «Жилищно-коммунальная сфера». По сравнению с 3 кварталом 2018 года (70 обращений) спад обращений граждан составил 74%. </w:t>
      </w:r>
    </w:p>
    <w:p w:rsidR="00543836" w:rsidRDefault="00543836" w:rsidP="005438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обращениях содержалось 26 вопросов по различным тематикам, таким как:</w:t>
      </w:r>
    </w:p>
    <w:p w:rsidR="00543836" w:rsidRDefault="00543836" w:rsidP="00543836">
      <w:pPr>
        <w:pStyle w:val="aa"/>
        <w:numPr>
          <w:ilvl w:val="0"/>
          <w:numId w:val="9"/>
        </w:numPr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Сельское хозяйство. Торговля. Осуществление хозяйственной деятельности предприятий. Общественное питание;</w:t>
      </w:r>
    </w:p>
    <w:p w:rsidR="00543836" w:rsidRDefault="00543836" w:rsidP="00543836">
      <w:pPr>
        <w:pStyle w:val="aa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Социальное обеспечение и социальное страхование;</w:t>
      </w:r>
    </w:p>
    <w:p w:rsidR="00543836" w:rsidRDefault="00543836" w:rsidP="00543836">
      <w:pPr>
        <w:pStyle w:val="aa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Семья;</w:t>
      </w:r>
    </w:p>
    <w:p w:rsidR="00543836" w:rsidRDefault="00543836" w:rsidP="00543836">
      <w:pPr>
        <w:pStyle w:val="aa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граждан жилищем, пользование жилищным фондом, расселение ветхого и аварийного жилья;</w:t>
      </w:r>
    </w:p>
    <w:p w:rsidR="00543836" w:rsidRDefault="00543836" w:rsidP="00543836">
      <w:pPr>
        <w:pStyle w:val="aa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и обеспечение коммунальными услугами жилого фонда;</w:t>
      </w:r>
    </w:p>
    <w:p w:rsidR="00543836" w:rsidRDefault="00543836" w:rsidP="00543836">
      <w:pPr>
        <w:pStyle w:val="aa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Оплата строительства, содержание и ремонт жилья;</w:t>
      </w:r>
    </w:p>
    <w:p w:rsidR="00543836" w:rsidRDefault="00543836" w:rsidP="00543836">
      <w:pPr>
        <w:pStyle w:val="aa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Работа государственных органов и органов местного самоуправления                      с письменными и устными обращениями, рассмотрение ранее направленных обращений и иные вопросы;</w:t>
      </w:r>
    </w:p>
    <w:p w:rsidR="00543836" w:rsidRDefault="00543836" w:rsidP="00543836">
      <w:pPr>
        <w:numPr>
          <w:ilvl w:val="0"/>
          <w:numId w:val="9"/>
        </w:numPr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Природные ресурсы, охрана окружающей природной среды, гуманное отношение к животным.</w:t>
      </w:r>
    </w:p>
    <w:p w:rsidR="00543836" w:rsidRDefault="00543836" w:rsidP="00543836">
      <w:pPr>
        <w:pStyle w:val="aa"/>
        <w:spacing w:after="0"/>
        <w:jc w:val="both"/>
        <w:rPr>
          <w:sz w:val="26"/>
          <w:szCs w:val="26"/>
          <w:lang w:val="ru-RU" w:eastAsia="ru-RU"/>
        </w:rPr>
      </w:pPr>
    </w:p>
    <w:p w:rsidR="00543836" w:rsidRDefault="00543836" w:rsidP="005438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в комитет поступают заявления молодых и многодетных семей, которые регистрируются в журнале регистрации заявлений семей, желающих принять участие в подпрограмме «Обеспечение жильем молодых и многодетных семей             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Мурманска» на 2018-2024 годы отдела анализа и тарифного регулирования муниципального сектора экономики. </w:t>
      </w:r>
      <w:proofErr w:type="gramStart"/>
      <w:r>
        <w:rPr>
          <w:sz w:val="26"/>
          <w:szCs w:val="26"/>
        </w:rPr>
        <w:t xml:space="preserve">За 3 квартал 2019 года в комитет по экономическому развитию администрации города Мурманска поступило </w:t>
      </w:r>
      <w:r>
        <w:rPr>
          <w:b/>
          <w:sz w:val="26"/>
          <w:szCs w:val="26"/>
        </w:rPr>
        <w:t>23 заявления от молодых и многодетных семей</w:t>
      </w:r>
      <w:r>
        <w:rPr>
          <w:sz w:val="26"/>
          <w:szCs w:val="26"/>
        </w:rPr>
        <w:t xml:space="preserve"> города Мурманска, желающих принять участие в подпрограмме «Обеспечение жильем молодых и многодетных семей города Мурманска» на 2018-2024 годы и государственной программе Мурманской области «Обеспечение комфортной среды проживания населения региона» и </w:t>
      </w:r>
      <w:r>
        <w:rPr>
          <w:b/>
          <w:sz w:val="26"/>
          <w:szCs w:val="26"/>
        </w:rPr>
        <w:t>2 заявления</w:t>
      </w:r>
      <w:r>
        <w:rPr>
          <w:sz w:val="26"/>
          <w:szCs w:val="26"/>
        </w:rPr>
        <w:t xml:space="preserve"> от молодых семей поступили через МФЦ на</w:t>
      </w:r>
      <w:proofErr w:type="gramEnd"/>
      <w:r>
        <w:rPr>
          <w:sz w:val="26"/>
          <w:szCs w:val="26"/>
        </w:rPr>
        <w:t xml:space="preserve"> участие государственной программе Мурманской области «Обеспечение комфортной среды проживания населения региона», из которых:</w:t>
      </w:r>
    </w:p>
    <w:p w:rsidR="00543836" w:rsidRDefault="00543836" w:rsidP="00543836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- 2</w:t>
      </w:r>
      <w:r>
        <w:rPr>
          <w:sz w:val="26"/>
          <w:szCs w:val="26"/>
        </w:rPr>
        <w:t xml:space="preserve"> заявления принято и удовлетворено от молодых семей на участие в подпрограмме «Обеспечение жильем молодых и многодетных семей города Мурманска» на 2018-2024 годы;</w:t>
      </w:r>
    </w:p>
    <w:p w:rsidR="00543836" w:rsidRDefault="00543836" w:rsidP="00543836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- 1 </w:t>
      </w:r>
      <w:r>
        <w:rPr>
          <w:sz w:val="26"/>
          <w:szCs w:val="26"/>
        </w:rPr>
        <w:t>заявление принято и удовлетворено от многодетной семьи на участие в подпрограмме «Обеспечение жильем молодых и многодетных семей города Мурманска» на 2018-2024 годы;</w:t>
      </w:r>
    </w:p>
    <w:p w:rsidR="00543836" w:rsidRDefault="00543836" w:rsidP="00543836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- 20 </w:t>
      </w:r>
      <w:r>
        <w:rPr>
          <w:sz w:val="26"/>
          <w:szCs w:val="26"/>
        </w:rPr>
        <w:t xml:space="preserve">заявлений принято от молодых семей участников государственной программы Мурманской области «Обеспечение комфортной среды проживания населения региона», из них </w:t>
      </w:r>
      <w:r>
        <w:rPr>
          <w:b/>
          <w:sz w:val="26"/>
          <w:szCs w:val="26"/>
        </w:rPr>
        <w:t xml:space="preserve">18 </w:t>
      </w:r>
      <w:r>
        <w:rPr>
          <w:sz w:val="26"/>
          <w:szCs w:val="26"/>
        </w:rPr>
        <w:t xml:space="preserve">заявлений удовлетворено по включению в данную программу, по </w:t>
      </w:r>
      <w:r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 – отказано,</w:t>
      </w:r>
      <w:r>
        <w:rPr>
          <w:b/>
          <w:sz w:val="26"/>
          <w:szCs w:val="26"/>
        </w:rPr>
        <w:t xml:space="preserve"> 1</w:t>
      </w:r>
      <w:r>
        <w:rPr>
          <w:sz w:val="26"/>
          <w:szCs w:val="26"/>
        </w:rPr>
        <w:t xml:space="preserve"> заявление находится на стадии рассмотрения.</w:t>
      </w:r>
    </w:p>
    <w:p w:rsidR="00543836" w:rsidRDefault="00543836" w:rsidP="005438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Специалистами комитета ежедневно проводится консультирование семей желающих принять участие в программах по улучшению жилищных условий. </w:t>
      </w:r>
    </w:p>
    <w:p w:rsidR="00543836" w:rsidRDefault="00543836" w:rsidP="005438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сравнению с аналогичным периодом 2018 года наблюдается незначительный рост количества заявлений от семей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Мурманска, который составил                                   27% (в 3 квартале 2018 года зарегистрировано 19 заявлений). </w:t>
      </w:r>
    </w:p>
    <w:p w:rsidR="00543836" w:rsidRDefault="00543836" w:rsidP="005438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количества заявлений от семей города Мурманска связано                          с повышенным интересом молодых семей участвовать в государственной программе Мурманской области «Обеспечение комфортной среды проживания населения региона».</w:t>
      </w:r>
    </w:p>
    <w:p w:rsidR="00543836" w:rsidRDefault="00543836" w:rsidP="005438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Динамика обращений граждан по типу обращения</w:t>
      </w:r>
    </w:p>
    <w:tbl>
      <w:tblPr>
        <w:tblW w:w="4850" w:type="pct"/>
        <w:jc w:val="center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"/>
        <w:gridCol w:w="2472"/>
        <w:gridCol w:w="794"/>
        <w:gridCol w:w="11"/>
        <w:gridCol w:w="1275"/>
        <w:gridCol w:w="971"/>
        <w:gridCol w:w="581"/>
        <w:gridCol w:w="1275"/>
        <w:gridCol w:w="707"/>
        <w:gridCol w:w="964"/>
      </w:tblGrid>
      <w:tr w:rsidR="00543836" w:rsidTr="00543836">
        <w:trPr>
          <w:jc w:val="center"/>
        </w:trPr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Вид обращения</w:t>
            </w:r>
          </w:p>
        </w:tc>
        <w:tc>
          <w:tcPr>
            <w:tcW w:w="15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3 квартал 2018 года</w:t>
            </w:r>
          </w:p>
        </w:tc>
        <w:tc>
          <w:tcPr>
            <w:tcW w:w="1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3 квартал 2019 года</w:t>
            </w:r>
          </w:p>
        </w:tc>
        <w:tc>
          <w:tcPr>
            <w:tcW w:w="5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</w:rPr>
              <w:t>Динамика %</w:t>
            </w:r>
          </w:p>
        </w:tc>
      </w:tr>
      <w:tr w:rsidR="00543836" w:rsidTr="00543836">
        <w:trPr>
          <w:trHeight w:val="944"/>
          <w:jc w:val="center"/>
        </w:trPr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Всего поступило  обращений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</w:rPr>
              <w:t>Из ООГ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</w:rPr>
              <w:t>В комитет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</w:rPr>
              <w:t>Из ООГ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</w:rPr>
              <w:t>Непосредст</w:t>
            </w:r>
            <w:proofErr w:type="spellEnd"/>
          </w:p>
          <w:p w:rsidR="00543836" w:rsidRDefault="0054383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</w:rPr>
              <w:t>венно</w:t>
            </w:r>
            <w:proofErr w:type="spellEnd"/>
            <w:r>
              <w:rPr>
                <w:b/>
                <w:sz w:val="16"/>
                <w:szCs w:val="16"/>
              </w:rPr>
              <w:t xml:space="preserve"> в комитет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rPr>
                <w:b/>
                <w:sz w:val="16"/>
                <w:szCs w:val="16"/>
                <w:lang w:val="en-US" w:eastAsia="en-US"/>
              </w:rPr>
            </w:pPr>
          </w:p>
        </w:tc>
      </w:tr>
      <w:tr w:rsidR="00543836" w:rsidTr="00543836">
        <w:trPr>
          <w:trHeight w:val="546"/>
          <w:jc w:val="center"/>
        </w:trPr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t>Индивидуальные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-75</w:t>
            </w:r>
          </w:p>
        </w:tc>
      </w:tr>
      <w:tr w:rsidR="00543836" w:rsidTr="00543836">
        <w:trPr>
          <w:jc w:val="center"/>
        </w:trPr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t>Коллективные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t>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-50</w:t>
            </w:r>
          </w:p>
        </w:tc>
      </w:tr>
      <w:tr w:rsidR="00543836" w:rsidTr="00543836">
        <w:trPr>
          <w:jc w:val="center"/>
        </w:trPr>
        <w:tc>
          <w:tcPr>
            <w:tcW w:w="449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36" w:rsidRDefault="0054383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543836" w:rsidTr="00543836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836" w:rsidRDefault="0054383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t>Запросы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-83</w:t>
            </w:r>
          </w:p>
        </w:tc>
      </w:tr>
      <w:tr w:rsidR="00543836" w:rsidTr="00543836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836" w:rsidRDefault="0054383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Обращения (заявления, жалобы), из них поступившие посредством: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29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33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-72</w:t>
            </w:r>
          </w:p>
        </w:tc>
      </w:tr>
      <w:tr w:rsidR="00543836" w:rsidTr="00543836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836" w:rsidRDefault="0054383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очты, интернет-приемной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19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t>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-75</w:t>
            </w:r>
          </w:p>
        </w:tc>
      </w:tr>
      <w:tr w:rsidR="00543836" w:rsidTr="00543836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836" w:rsidRDefault="00543836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t>Письменно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29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-69</w:t>
            </w:r>
          </w:p>
        </w:tc>
      </w:tr>
      <w:tr w:rsidR="00543836" w:rsidTr="00543836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836" w:rsidRDefault="0054383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t>Письма, уведомления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t>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t>-100</w:t>
            </w:r>
          </w:p>
        </w:tc>
      </w:tr>
      <w:tr w:rsidR="00543836" w:rsidTr="00543836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836" w:rsidRDefault="0054383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t>Личный прием граждан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t>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</w:tr>
    </w:tbl>
    <w:p w:rsidR="00543836" w:rsidRDefault="00543836" w:rsidP="00543836">
      <w:pPr>
        <w:pStyle w:val="aa"/>
        <w:spacing w:after="0"/>
        <w:ind w:firstLine="709"/>
        <w:jc w:val="both"/>
        <w:rPr>
          <w:sz w:val="26"/>
          <w:szCs w:val="26"/>
          <w:lang w:val="ru-RU" w:eastAsia="ru-RU"/>
        </w:rPr>
      </w:pPr>
    </w:p>
    <w:p w:rsidR="00543836" w:rsidRDefault="00543836" w:rsidP="00543836">
      <w:pPr>
        <w:pStyle w:val="aa"/>
        <w:spacing w:after="0"/>
        <w:jc w:val="both"/>
        <w:rPr>
          <w:sz w:val="26"/>
          <w:szCs w:val="26"/>
        </w:rPr>
      </w:pPr>
    </w:p>
    <w:p w:rsidR="00543836" w:rsidRDefault="00543836" w:rsidP="005438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Динамика обращений граждан по признаку заявителя</w:t>
      </w: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1"/>
        <w:gridCol w:w="1418"/>
        <w:gridCol w:w="1417"/>
        <w:gridCol w:w="1838"/>
      </w:tblGrid>
      <w:tr w:rsidR="00543836" w:rsidTr="00543836">
        <w:trPr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По признаку заявителя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3 квартал 2018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3 квартал 2019 года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Динамика %</w:t>
            </w:r>
          </w:p>
        </w:tc>
      </w:tr>
      <w:tr w:rsidR="00543836" w:rsidTr="00543836">
        <w:trPr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rPr>
                <w:lang w:val="en-US" w:eastAsia="en-US"/>
              </w:rPr>
            </w:pPr>
            <w:r>
              <w:t xml:space="preserve">Ветеран, участник, инвалид ВОВ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43836" w:rsidTr="00543836">
        <w:trPr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rPr>
                <w:lang w:val="en-US" w:eastAsia="en-US"/>
              </w:rPr>
            </w:pPr>
            <w:r>
              <w:t>Ветераны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lang w:val="en-US" w:eastAsia="en-US"/>
              </w:rPr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43836" w:rsidTr="00543836">
        <w:trPr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rPr>
                <w:lang w:val="en-US" w:eastAsia="en-US"/>
              </w:rPr>
            </w:pPr>
            <w:r>
              <w:t xml:space="preserve">Пенсионеры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-100</w:t>
            </w:r>
          </w:p>
        </w:tc>
      </w:tr>
      <w:tr w:rsidR="00543836" w:rsidTr="00543836">
        <w:trPr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rPr>
                <w:lang w:val="en-US" w:eastAsia="en-US"/>
              </w:rPr>
            </w:pPr>
            <w:r>
              <w:t>Многодетная семья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</w:tr>
      <w:tr w:rsidR="00543836" w:rsidTr="00543836">
        <w:trPr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rPr>
                <w:lang w:val="en-US" w:eastAsia="en-US"/>
              </w:rPr>
            </w:pPr>
            <w:r>
              <w:t>Одинокая мать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lang w:val="en-US" w:eastAsia="en-US"/>
              </w:rPr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lang w:val="en-US" w:eastAsia="en-US"/>
              </w:rPr>
            </w:pPr>
            <w:r>
              <w:t>0</w:t>
            </w:r>
          </w:p>
        </w:tc>
      </w:tr>
      <w:tr w:rsidR="00543836" w:rsidTr="00543836">
        <w:trPr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rPr>
                <w:lang w:val="en-US" w:eastAsia="en-US"/>
              </w:rPr>
            </w:pPr>
            <w:r>
              <w:t>Прочие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-76</w:t>
            </w:r>
          </w:p>
        </w:tc>
      </w:tr>
    </w:tbl>
    <w:p w:rsidR="00543836" w:rsidRDefault="00543836" w:rsidP="00543836">
      <w:pPr>
        <w:jc w:val="center"/>
        <w:rPr>
          <w:b/>
          <w:sz w:val="26"/>
          <w:szCs w:val="26"/>
          <w:lang w:eastAsia="en-US"/>
        </w:rPr>
      </w:pPr>
    </w:p>
    <w:p w:rsidR="00543836" w:rsidRDefault="00543836" w:rsidP="005438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Динамика обращений граждан по адресанту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1453"/>
        <w:gridCol w:w="1559"/>
        <w:gridCol w:w="1666"/>
      </w:tblGrid>
      <w:tr w:rsidR="00543836" w:rsidTr="005438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По адресанту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3 квартал 2018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3 квартал 2019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Динамика %</w:t>
            </w:r>
          </w:p>
        </w:tc>
      </w:tr>
      <w:tr w:rsidR="00543836" w:rsidTr="005438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rPr>
                <w:lang w:val="en-US" w:eastAsia="en-US"/>
              </w:rPr>
            </w:pPr>
            <w:r>
              <w:t>Правительство МО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-90</w:t>
            </w:r>
          </w:p>
        </w:tc>
      </w:tr>
      <w:tr w:rsidR="00543836" w:rsidTr="005438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rPr>
                <w:lang w:val="en-US" w:eastAsia="en-US"/>
              </w:rPr>
            </w:pPr>
            <w:r>
              <w:t>Органы прокуратуры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</w:tr>
      <w:tr w:rsidR="00543836" w:rsidTr="005438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rPr>
                <w:lang w:val="en-US" w:eastAsia="en-US"/>
              </w:rPr>
            </w:pPr>
            <w:r>
              <w:t>Администрация Президента РФ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-80</w:t>
            </w:r>
          </w:p>
        </w:tc>
      </w:tr>
      <w:tr w:rsidR="00543836" w:rsidTr="005438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rPr>
                <w:lang w:val="en-US" w:eastAsia="en-US"/>
              </w:rPr>
            </w:pPr>
            <w:r>
              <w:t>Государственная Дума РФ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val="en-US"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43836" w:rsidTr="005438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rPr>
                <w:lang w:eastAsia="en-US"/>
              </w:rPr>
            </w:pPr>
            <w:r>
              <w:lastRenderedPageBreak/>
              <w:t>Мурманская областная Дума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43836" w:rsidTr="005438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rPr>
                <w:lang w:eastAsia="en-US"/>
              </w:rPr>
            </w:pPr>
            <w:r>
              <w:t xml:space="preserve">Глава муниципального образования город  Мурманск, депутаты и Совет депутатов города Мурманска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</w:tr>
      <w:tr w:rsidR="00543836" w:rsidTr="005438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rPr>
                <w:lang w:eastAsia="en-US"/>
              </w:rPr>
            </w:pPr>
            <w:r>
              <w:t>Министерство социального развития Мурманской области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43836" w:rsidTr="005438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rPr>
                <w:lang w:val="en-US" w:eastAsia="en-US"/>
              </w:rPr>
            </w:pPr>
            <w:r>
              <w:t>Непосредственно в Администрацию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-97</w:t>
            </w:r>
          </w:p>
        </w:tc>
      </w:tr>
      <w:tr w:rsidR="00543836" w:rsidTr="005438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rPr>
                <w:lang w:val="en-US" w:eastAsia="en-US"/>
              </w:rPr>
            </w:pPr>
            <w:r>
              <w:t>Непосредственно в комитет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-97</w:t>
            </w:r>
          </w:p>
        </w:tc>
      </w:tr>
      <w:tr w:rsidR="00543836" w:rsidTr="005438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rPr>
                <w:lang w:eastAsia="en-US"/>
              </w:rPr>
            </w:pPr>
            <w:r>
              <w:t>УМВД по городу и области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43836" w:rsidTr="005438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rPr>
                <w:lang w:eastAsia="en-US"/>
              </w:rPr>
            </w:pPr>
            <w:r>
              <w:t>Управление надзорной деятельности и профилактической работы ГУ другие адресаты по Мурманской области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43836" w:rsidTr="005438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spacing w:line="276" w:lineRule="auto"/>
              <w:rPr>
                <w:lang w:eastAsia="en-US"/>
              </w:rPr>
            </w:pPr>
            <w:r>
              <w:t>Уполномоченный по защите прав предпринимателей при Губернаторе Мурманской области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543836" w:rsidTr="0054383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rPr>
                <w:lang w:val="en-US" w:eastAsia="en-US"/>
              </w:rPr>
            </w:pPr>
            <w:r>
              <w:t>Прочие адресанты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jc w:val="center"/>
              <w:rPr>
                <w:lang w:eastAsia="en-US"/>
              </w:rPr>
            </w:pPr>
            <w:r>
              <w:t>-94</w:t>
            </w:r>
          </w:p>
        </w:tc>
      </w:tr>
    </w:tbl>
    <w:p w:rsidR="00543836" w:rsidRDefault="00543836" w:rsidP="00543836">
      <w:pPr>
        <w:rPr>
          <w:b/>
          <w:sz w:val="26"/>
          <w:szCs w:val="26"/>
          <w:lang w:eastAsia="en-US"/>
        </w:rPr>
      </w:pPr>
    </w:p>
    <w:p w:rsidR="00543836" w:rsidRDefault="00543836" w:rsidP="005438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Качественный анализ обращений граждан, поступивших в 3 квартале 2019 года</w:t>
      </w:r>
    </w:p>
    <w:p w:rsidR="00543836" w:rsidRDefault="00543836" w:rsidP="0054383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Основными разделами, к которым относятся обращения, поступающие от граждан в структурное подразделение, являются «Экономическое развитие»,  «Социальная сфера», «Государство, общество, политика» и «Жилищно-коммунальная сфера».</w:t>
      </w:r>
      <w:proofErr w:type="gramEnd"/>
    </w:p>
    <w:p w:rsidR="00543836" w:rsidRDefault="00543836" w:rsidP="0054383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«Экономическое развитие»</w:t>
      </w:r>
      <w:r>
        <w:rPr>
          <w:sz w:val="26"/>
          <w:szCs w:val="26"/>
        </w:rPr>
        <w:t xml:space="preserve"> в отчётный период поступило                    5</w:t>
      </w:r>
      <w:r>
        <w:rPr>
          <w:b/>
          <w:sz w:val="26"/>
          <w:szCs w:val="26"/>
        </w:rPr>
        <w:t xml:space="preserve"> обращений</w:t>
      </w:r>
      <w:r>
        <w:rPr>
          <w:sz w:val="26"/>
          <w:szCs w:val="26"/>
        </w:rPr>
        <w:t xml:space="preserve"> (из них </w:t>
      </w:r>
      <w:r>
        <w:rPr>
          <w:b/>
          <w:sz w:val="26"/>
          <w:szCs w:val="26"/>
        </w:rPr>
        <w:t>5 вопросов</w:t>
      </w:r>
      <w:r>
        <w:rPr>
          <w:sz w:val="26"/>
          <w:szCs w:val="26"/>
        </w:rPr>
        <w:t xml:space="preserve"> по тематике «Сельское хозяйство.</w:t>
      </w:r>
      <w:proofErr w:type="gramEnd"/>
      <w:r>
        <w:rPr>
          <w:sz w:val="26"/>
          <w:szCs w:val="26"/>
        </w:rPr>
        <w:t xml:space="preserve"> Торговля. Осуществление хозяйственной деятельности предприятий. </w:t>
      </w:r>
      <w:proofErr w:type="gramStart"/>
      <w:r>
        <w:rPr>
          <w:sz w:val="26"/>
          <w:szCs w:val="26"/>
        </w:rPr>
        <w:t xml:space="preserve">Общественное питание»,             </w:t>
      </w:r>
      <w:r>
        <w:rPr>
          <w:b/>
          <w:sz w:val="26"/>
          <w:szCs w:val="26"/>
        </w:rPr>
        <w:t>2 вопроса</w:t>
      </w:r>
      <w:r>
        <w:rPr>
          <w:sz w:val="26"/>
          <w:szCs w:val="26"/>
        </w:rPr>
        <w:t xml:space="preserve"> по тематике «Природные ресурсы, охрана окружающей природной среды, гуманное отношение к животным», </w:t>
      </w:r>
      <w:r>
        <w:rPr>
          <w:b/>
          <w:sz w:val="26"/>
          <w:szCs w:val="26"/>
        </w:rPr>
        <w:t>1 вопрос</w:t>
      </w:r>
      <w:r>
        <w:rPr>
          <w:sz w:val="26"/>
          <w:szCs w:val="26"/>
        </w:rPr>
        <w:t xml:space="preserve"> - «Иные вопросы»).</w:t>
      </w:r>
      <w:proofErr w:type="gramEnd"/>
    </w:p>
    <w:p w:rsidR="00543836" w:rsidRDefault="00543836" w:rsidP="005438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 xml:space="preserve">«Социальная сфера» </w:t>
      </w: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8 обращений</w:t>
      </w:r>
      <w:r>
        <w:rPr>
          <w:sz w:val="26"/>
          <w:szCs w:val="26"/>
        </w:rPr>
        <w:t xml:space="preserve"> (из них </w:t>
      </w:r>
      <w:r>
        <w:rPr>
          <w:b/>
          <w:sz w:val="26"/>
          <w:szCs w:val="26"/>
        </w:rPr>
        <w:t>4 вопроса</w:t>
      </w:r>
      <w:r>
        <w:rPr>
          <w:sz w:val="26"/>
          <w:szCs w:val="26"/>
        </w:rPr>
        <w:t xml:space="preserve"> по тематике «Социальное обеспечение и социальное страхование», </w:t>
      </w:r>
      <w:r>
        <w:rPr>
          <w:b/>
          <w:sz w:val="26"/>
          <w:szCs w:val="26"/>
        </w:rPr>
        <w:t>3 вопроса</w:t>
      </w:r>
      <w:r>
        <w:rPr>
          <w:sz w:val="26"/>
          <w:szCs w:val="26"/>
        </w:rPr>
        <w:t xml:space="preserve"> по тематике «Семья»,  </w:t>
      </w:r>
      <w:r>
        <w:rPr>
          <w:b/>
          <w:sz w:val="26"/>
          <w:szCs w:val="26"/>
        </w:rPr>
        <w:t>1 вопрос</w:t>
      </w:r>
      <w:r>
        <w:rPr>
          <w:sz w:val="26"/>
          <w:szCs w:val="26"/>
        </w:rPr>
        <w:t xml:space="preserve"> - «Иные вопросы»).</w:t>
      </w:r>
    </w:p>
    <w:p w:rsidR="00543836" w:rsidRDefault="00543836" w:rsidP="005438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подразделу </w:t>
      </w:r>
      <w:r>
        <w:rPr>
          <w:b/>
          <w:sz w:val="26"/>
          <w:szCs w:val="26"/>
        </w:rPr>
        <w:t xml:space="preserve">«Государство, общество, политика» </w:t>
      </w:r>
      <w:r>
        <w:rPr>
          <w:sz w:val="26"/>
          <w:szCs w:val="26"/>
        </w:rPr>
        <w:t xml:space="preserve">поступило </w:t>
      </w:r>
      <w:r>
        <w:rPr>
          <w:b/>
          <w:sz w:val="26"/>
          <w:szCs w:val="26"/>
        </w:rPr>
        <w:t xml:space="preserve">2 обращения, </w:t>
      </w:r>
      <w:r>
        <w:rPr>
          <w:sz w:val="26"/>
          <w:szCs w:val="26"/>
        </w:rPr>
        <w:t>из них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 тематике «Работа государственных органов и органов местного самоуправления с письменными и устными обращениями, рассмотрение ранее направленных обращений» содержался </w:t>
      </w:r>
      <w:r>
        <w:rPr>
          <w:b/>
          <w:sz w:val="26"/>
          <w:szCs w:val="26"/>
        </w:rPr>
        <w:t>1 вопрос,</w:t>
      </w:r>
      <w:r>
        <w:rPr>
          <w:sz w:val="26"/>
          <w:szCs w:val="26"/>
        </w:rPr>
        <w:t xml:space="preserve"> и по тематике «Иные вопросы» -                </w:t>
      </w:r>
      <w:r>
        <w:rPr>
          <w:b/>
          <w:sz w:val="26"/>
          <w:szCs w:val="26"/>
        </w:rPr>
        <w:t>2 вопроса</w:t>
      </w:r>
      <w:r>
        <w:rPr>
          <w:sz w:val="26"/>
          <w:szCs w:val="26"/>
        </w:rPr>
        <w:t xml:space="preserve">. </w:t>
      </w:r>
    </w:p>
    <w:p w:rsidR="00543836" w:rsidRDefault="00543836" w:rsidP="005438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«Жилищно-коммунальная сфера»</w:t>
      </w:r>
      <w:r>
        <w:rPr>
          <w:sz w:val="26"/>
          <w:szCs w:val="26"/>
        </w:rPr>
        <w:t xml:space="preserve"> в отчётный период поступило               </w:t>
      </w:r>
      <w:r>
        <w:rPr>
          <w:b/>
          <w:sz w:val="26"/>
          <w:szCs w:val="26"/>
        </w:rPr>
        <w:t>3 обращения</w:t>
      </w:r>
      <w:r>
        <w:rPr>
          <w:sz w:val="26"/>
          <w:szCs w:val="26"/>
        </w:rPr>
        <w:t xml:space="preserve"> (из них </w:t>
      </w:r>
      <w:r>
        <w:rPr>
          <w:b/>
          <w:sz w:val="26"/>
          <w:szCs w:val="26"/>
        </w:rPr>
        <w:t>4 вопроса</w:t>
      </w:r>
      <w:r>
        <w:rPr>
          <w:sz w:val="26"/>
          <w:szCs w:val="26"/>
        </w:rPr>
        <w:t xml:space="preserve"> по тематике «Обеспечение граждан жилищем, пользование жилищным фондом, расселение ветхого и аварийного жилья», </w:t>
      </w:r>
      <w:r>
        <w:rPr>
          <w:b/>
          <w:sz w:val="26"/>
          <w:szCs w:val="26"/>
        </w:rPr>
        <w:t>2 вопроса</w:t>
      </w:r>
      <w:r>
        <w:rPr>
          <w:sz w:val="26"/>
          <w:szCs w:val="26"/>
        </w:rPr>
        <w:t xml:space="preserve"> по тематике «Содержание и обеспечение коммунальными услугами жилого фонда»,     </w:t>
      </w:r>
      <w:r>
        <w:rPr>
          <w:b/>
          <w:sz w:val="26"/>
          <w:szCs w:val="26"/>
        </w:rPr>
        <w:t>1 вопрос</w:t>
      </w:r>
      <w:r>
        <w:rPr>
          <w:sz w:val="26"/>
          <w:szCs w:val="26"/>
        </w:rPr>
        <w:t xml:space="preserve"> по тематике «Оплата строительства, содержание и ремонт жилья»). </w:t>
      </w:r>
    </w:p>
    <w:p w:rsidR="00543836" w:rsidRDefault="00543836" w:rsidP="00543836">
      <w:pPr>
        <w:ind w:firstLine="709"/>
        <w:jc w:val="both"/>
        <w:rPr>
          <w:rFonts w:cs="Cambria"/>
          <w:sz w:val="26"/>
          <w:szCs w:val="26"/>
        </w:rPr>
      </w:pPr>
      <w:r>
        <w:rPr>
          <w:sz w:val="26"/>
          <w:szCs w:val="26"/>
        </w:rPr>
        <w:t xml:space="preserve">Количество обращений по вопросам торговли, общественного питания и бытового обслуживания населения уменьшилось на 20%. Основным вопросом в обращениях остаётся: открытие в многоквартирных домах предприятий, оказывающих услуги общественного питания (закусочных, баров, кафе), работающих в круглосуточном режиме и реализующих алкогольную продукцию с нарушением требований законодательства. Надзорные функции за соблюдением обязательных требований федерального законодательства в области производства и оборота алкогольной продукции осуществляют в пределах своей компетенции Управление по лицензированию Мурманской области и УМВД России по Мурманской области. В </w:t>
      </w:r>
      <w:r>
        <w:rPr>
          <w:sz w:val="26"/>
          <w:szCs w:val="26"/>
        </w:rPr>
        <w:lastRenderedPageBreak/>
        <w:t xml:space="preserve">соответствии с действующим законодательством органы местного самоуправления не вправе регулировать или понуждать хозяйствующих субъектов к осуществлению торговой деятельности определённой группой товаров, закрытию или открытию торговых объектов по конкретным адресам.                                                                                                                                                                                                                         </w:t>
      </w:r>
    </w:p>
    <w:p w:rsidR="00543836" w:rsidRDefault="00543836" w:rsidP="005438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рассмотрении обращений специалистами отдела потребительского рынка осуществляются выезды на место. В 3 квартале 2019 года осуществлено                           10 выездов.  </w:t>
      </w:r>
    </w:p>
    <w:p w:rsidR="00543836" w:rsidRDefault="00543836" w:rsidP="00543836">
      <w:pPr>
        <w:ind w:firstLine="680"/>
        <w:jc w:val="center"/>
        <w:rPr>
          <w:rStyle w:val="FontStyle23"/>
        </w:rPr>
      </w:pPr>
      <w:r>
        <w:rPr>
          <w:rStyle w:val="FontStyle23"/>
        </w:rPr>
        <w:t>Результаты рассмотрения обращений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75"/>
        <w:gridCol w:w="1134"/>
        <w:gridCol w:w="1275"/>
        <w:gridCol w:w="1560"/>
        <w:gridCol w:w="1417"/>
        <w:gridCol w:w="1098"/>
      </w:tblGrid>
      <w:tr w:rsidR="00543836" w:rsidTr="00543836">
        <w:trPr>
          <w:trHeight w:val="71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</w:rPr>
            </w:pPr>
            <w:r>
              <w:rPr>
                <w:rStyle w:val="FontStyle24"/>
                <w:b/>
                <w:bCs/>
              </w:rPr>
              <w:t>Результаты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after="200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</w:rPr>
              <w:t>3 квартал 2018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after="200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</w:rPr>
              <w:t>% от общего количества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after="200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</w:rPr>
              <w:t>3 квартал 2019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after="200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</w:rPr>
              <w:t>% от общего количества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spacing w:after="200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</w:rPr>
              <w:t>Динамика %</w:t>
            </w:r>
          </w:p>
        </w:tc>
      </w:tr>
      <w:tr w:rsidR="00543836" w:rsidTr="0054383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</w:rPr>
            </w:pPr>
            <w:r>
              <w:rPr>
                <w:rStyle w:val="FontStyle24"/>
                <w:bCs/>
              </w:rPr>
              <w:t>Решено положительно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94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74</w:t>
            </w:r>
          </w:p>
        </w:tc>
      </w:tr>
      <w:tr w:rsidR="00543836" w:rsidTr="0054383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</w:rPr>
            </w:pPr>
            <w:r>
              <w:rPr>
                <w:rStyle w:val="FontStyle24"/>
                <w:bCs/>
              </w:rPr>
              <w:t>Даны квалифицированные разъяснения и рекомендации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-80</w:t>
            </w:r>
          </w:p>
        </w:tc>
      </w:tr>
      <w:tr w:rsidR="00543836" w:rsidTr="0054383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</w:rPr>
            </w:pPr>
            <w:r>
              <w:rPr>
                <w:rStyle w:val="FontStyle24"/>
                <w:bCs/>
              </w:rPr>
              <w:t>Поставлено на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-70</w:t>
            </w:r>
          </w:p>
        </w:tc>
      </w:tr>
      <w:tr w:rsidR="00543836" w:rsidTr="0054383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</w:rPr>
            </w:pPr>
            <w:r>
              <w:rPr>
                <w:rStyle w:val="FontStyle24"/>
                <w:bCs/>
              </w:rPr>
              <w:t>Принято к сведению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</w:t>
            </w:r>
          </w:p>
        </w:tc>
      </w:tr>
      <w:tr w:rsidR="00543836" w:rsidTr="0054383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</w:rPr>
            </w:pPr>
            <w:r>
              <w:rPr>
                <w:rStyle w:val="FontStyle24"/>
                <w:bCs/>
              </w:rPr>
              <w:t>Направлено по принадлежности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pStyle w:val="2"/>
              <w:jc w:val="center"/>
              <w:rPr>
                <w:rStyle w:val="FontStyle24"/>
                <w:sz w:val="24"/>
                <w:szCs w:val="24"/>
                <w:lang w:val="en-US" w:eastAsia="en-US"/>
              </w:rPr>
            </w:pPr>
            <w:r>
              <w:rPr>
                <w:rStyle w:val="FontStyle24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</w:p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</w:p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</w:p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</w:p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</w:t>
            </w:r>
          </w:p>
        </w:tc>
      </w:tr>
      <w:tr w:rsidR="00543836" w:rsidTr="00543836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</w:rPr>
            </w:pPr>
            <w:r>
              <w:rPr>
                <w:rStyle w:val="FontStyle24"/>
                <w:bCs/>
              </w:rPr>
              <w:t>Рассмотрено с выездом на месте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36" w:rsidRDefault="0054383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25</w:t>
            </w:r>
          </w:p>
        </w:tc>
      </w:tr>
    </w:tbl>
    <w:p w:rsidR="00543836" w:rsidRDefault="00543836" w:rsidP="00543836">
      <w:pPr>
        <w:pStyle w:val="a7"/>
        <w:tabs>
          <w:tab w:val="left" w:pos="1134"/>
        </w:tabs>
        <w:spacing w:before="0" w:beforeAutospacing="0"/>
        <w:jc w:val="both"/>
        <w:rPr>
          <w:rStyle w:val="FontStyle24"/>
          <w:bCs/>
        </w:rPr>
      </w:pPr>
    </w:p>
    <w:p w:rsidR="00543836" w:rsidRDefault="00543836" w:rsidP="00543836">
      <w:pPr>
        <w:pStyle w:val="a7"/>
        <w:tabs>
          <w:tab w:val="left" w:pos="1134"/>
        </w:tabs>
        <w:spacing w:before="0" w:beforeAutospacing="0"/>
        <w:jc w:val="both"/>
        <w:rPr>
          <w:rStyle w:val="FontStyle23"/>
          <w:b w:val="0"/>
          <w:color w:val="FF0000"/>
        </w:rPr>
      </w:pPr>
      <w:r>
        <w:rPr>
          <w:rStyle w:val="FontStyle24"/>
          <w:bCs/>
        </w:rPr>
        <w:t>Все обращения рассмотрены в установленные сроки, заявителям даны разъяснения</w:t>
      </w:r>
      <w:r>
        <w:rPr>
          <w:rStyle w:val="FontStyle24"/>
          <w:bCs/>
          <w:color w:val="FF0000"/>
        </w:rPr>
        <w:t>.</w:t>
      </w:r>
    </w:p>
    <w:p w:rsidR="00F151D1" w:rsidRPr="00900C23" w:rsidRDefault="00F151D1" w:rsidP="00543836">
      <w:pPr>
        <w:jc w:val="center"/>
        <w:rPr>
          <w:bCs/>
          <w:color w:val="FF0000"/>
          <w:sz w:val="26"/>
          <w:szCs w:val="26"/>
        </w:rPr>
      </w:pPr>
    </w:p>
    <w:sectPr w:rsidR="00F151D1" w:rsidRPr="00900C23" w:rsidSect="00184795">
      <w:pgSz w:w="11906" w:h="16838"/>
      <w:pgMar w:top="99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694F"/>
    <w:multiLevelType w:val="hybridMultilevel"/>
    <w:tmpl w:val="061E04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05692"/>
    <w:multiLevelType w:val="hybridMultilevel"/>
    <w:tmpl w:val="DDB4C19E"/>
    <w:lvl w:ilvl="0" w:tplc="BFA21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92EC3"/>
    <w:multiLevelType w:val="hybridMultilevel"/>
    <w:tmpl w:val="0DC243FE"/>
    <w:lvl w:ilvl="0" w:tplc="7B1204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09C6981"/>
    <w:multiLevelType w:val="hybridMultilevel"/>
    <w:tmpl w:val="5596DD34"/>
    <w:lvl w:ilvl="0" w:tplc="FCCCC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15C0F"/>
    <w:multiLevelType w:val="hybridMultilevel"/>
    <w:tmpl w:val="D236EA0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A296D8F"/>
    <w:multiLevelType w:val="hybridMultilevel"/>
    <w:tmpl w:val="86087806"/>
    <w:lvl w:ilvl="0" w:tplc="7B1204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FD7807"/>
    <w:multiLevelType w:val="hybridMultilevel"/>
    <w:tmpl w:val="96024B78"/>
    <w:lvl w:ilvl="0" w:tplc="7B1204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17B4209"/>
    <w:multiLevelType w:val="hybridMultilevel"/>
    <w:tmpl w:val="B6AC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C759F"/>
    <w:rsid w:val="00004C2A"/>
    <w:rsid w:val="00067FB8"/>
    <w:rsid w:val="0008296D"/>
    <w:rsid w:val="000B1684"/>
    <w:rsid w:val="000B26A8"/>
    <w:rsid w:val="000B2BFF"/>
    <w:rsid w:val="000D56BC"/>
    <w:rsid w:val="000F43C5"/>
    <w:rsid w:val="000F6AD8"/>
    <w:rsid w:val="00127486"/>
    <w:rsid w:val="00142EAE"/>
    <w:rsid w:val="00174754"/>
    <w:rsid w:val="00184795"/>
    <w:rsid w:val="001A64AC"/>
    <w:rsid w:val="001B511D"/>
    <w:rsid w:val="00204334"/>
    <w:rsid w:val="00227227"/>
    <w:rsid w:val="00234CC4"/>
    <w:rsid w:val="0025229D"/>
    <w:rsid w:val="00262239"/>
    <w:rsid w:val="00285537"/>
    <w:rsid w:val="00294D40"/>
    <w:rsid w:val="002B3BBA"/>
    <w:rsid w:val="002C0413"/>
    <w:rsid w:val="002C6530"/>
    <w:rsid w:val="002C6D83"/>
    <w:rsid w:val="00304391"/>
    <w:rsid w:val="00304A08"/>
    <w:rsid w:val="00305E15"/>
    <w:rsid w:val="0032183B"/>
    <w:rsid w:val="00335DDC"/>
    <w:rsid w:val="00362D30"/>
    <w:rsid w:val="003B785E"/>
    <w:rsid w:val="003C759F"/>
    <w:rsid w:val="003F61C8"/>
    <w:rsid w:val="00403427"/>
    <w:rsid w:val="00491EDA"/>
    <w:rsid w:val="004B5FFA"/>
    <w:rsid w:val="004D1CE9"/>
    <w:rsid w:val="00505526"/>
    <w:rsid w:val="005416ED"/>
    <w:rsid w:val="00543836"/>
    <w:rsid w:val="00552C62"/>
    <w:rsid w:val="00560560"/>
    <w:rsid w:val="0058664F"/>
    <w:rsid w:val="005B4D69"/>
    <w:rsid w:val="005D4742"/>
    <w:rsid w:val="0062076A"/>
    <w:rsid w:val="00631991"/>
    <w:rsid w:val="006466F8"/>
    <w:rsid w:val="006550BB"/>
    <w:rsid w:val="006605FC"/>
    <w:rsid w:val="0066244D"/>
    <w:rsid w:val="006872C1"/>
    <w:rsid w:val="006C75EF"/>
    <w:rsid w:val="007003E0"/>
    <w:rsid w:val="00715950"/>
    <w:rsid w:val="00723291"/>
    <w:rsid w:val="0072379C"/>
    <w:rsid w:val="0073405A"/>
    <w:rsid w:val="00737492"/>
    <w:rsid w:val="00751FDA"/>
    <w:rsid w:val="00776EA9"/>
    <w:rsid w:val="007A5449"/>
    <w:rsid w:val="007D2695"/>
    <w:rsid w:val="007D3900"/>
    <w:rsid w:val="007F37D3"/>
    <w:rsid w:val="007F50B8"/>
    <w:rsid w:val="00845EA8"/>
    <w:rsid w:val="00847445"/>
    <w:rsid w:val="00854CC2"/>
    <w:rsid w:val="00855485"/>
    <w:rsid w:val="008604A8"/>
    <w:rsid w:val="00874BF9"/>
    <w:rsid w:val="00882655"/>
    <w:rsid w:val="00884805"/>
    <w:rsid w:val="00886784"/>
    <w:rsid w:val="008D7F2F"/>
    <w:rsid w:val="008F1AD0"/>
    <w:rsid w:val="00900C23"/>
    <w:rsid w:val="00913A26"/>
    <w:rsid w:val="0094354E"/>
    <w:rsid w:val="00950503"/>
    <w:rsid w:val="009748F8"/>
    <w:rsid w:val="00975925"/>
    <w:rsid w:val="00975B0B"/>
    <w:rsid w:val="009765ED"/>
    <w:rsid w:val="009932FC"/>
    <w:rsid w:val="009B3B59"/>
    <w:rsid w:val="009D525E"/>
    <w:rsid w:val="009F6272"/>
    <w:rsid w:val="009F7024"/>
    <w:rsid w:val="00A04AEF"/>
    <w:rsid w:val="00A11C47"/>
    <w:rsid w:val="00A334ED"/>
    <w:rsid w:val="00A712FD"/>
    <w:rsid w:val="00A77393"/>
    <w:rsid w:val="00AE2CC2"/>
    <w:rsid w:val="00B20F5F"/>
    <w:rsid w:val="00B37D82"/>
    <w:rsid w:val="00B80EC6"/>
    <w:rsid w:val="00B82F03"/>
    <w:rsid w:val="00BD6795"/>
    <w:rsid w:val="00BF371B"/>
    <w:rsid w:val="00BF4BCF"/>
    <w:rsid w:val="00C07CC6"/>
    <w:rsid w:val="00C235F6"/>
    <w:rsid w:val="00CE5E69"/>
    <w:rsid w:val="00D022C3"/>
    <w:rsid w:val="00D175F3"/>
    <w:rsid w:val="00D2339E"/>
    <w:rsid w:val="00D42834"/>
    <w:rsid w:val="00DA4263"/>
    <w:rsid w:val="00DB6DE3"/>
    <w:rsid w:val="00DC35A5"/>
    <w:rsid w:val="00E01DA2"/>
    <w:rsid w:val="00E168EA"/>
    <w:rsid w:val="00E20392"/>
    <w:rsid w:val="00E44D0E"/>
    <w:rsid w:val="00E65570"/>
    <w:rsid w:val="00E65F47"/>
    <w:rsid w:val="00EB44A5"/>
    <w:rsid w:val="00EB693B"/>
    <w:rsid w:val="00EC0E38"/>
    <w:rsid w:val="00F151D1"/>
    <w:rsid w:val="00F66931"/>
    <w:rsid w:val="00FB2E01"/>
    <w:rsid w:val="00FB5624"/>
    <w:rsid w:val="00FE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59F"/>
    <w:rPr>
      <w:sz w:val="24"/>
      <w:szCs w:val="24"/>
    </w:rPr>
  </w:style>
  <w:style w:type="paragraph" w:styleId="2">
    <w:name w:val="heading 2"/>
    <w:basedOn w:val="a"/>
    <w:next w:val="a"/>
    <w:qFormat/>
    <w:rsid w:val="003C759F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7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C75EF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6C75EF"/>
    <w:rPr>
      <w:rFonts w:ascii="Tahoma" w:hAnsi="Tahoma" w:cs="Tahoma"/>
      <w:sz w:val="16"/>
      <w:szCs w:val="16"/>
    </w:rPr>
  </w:style>
  <w:style w:type="character" w:styleId="a6">
    <w:name w:val="Hyperlink"/>
    <w:rsid w:val="0071595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77393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A77393"/>
    <w:rPr>
      <w:b/>
      <w:bCs/>
    </w:rPr>
  </w:style>
  <w:style w:type="character" w:customStyle="1" w:styleId="apple-style-span">
    <w:name w:val="apple-style-span"/>
    <w:uiPriority w:val="99"/>
    <w:rsid w:val="009B3B59"/>
  </w:style>
  <w:style w:type="paragraph" w:customStyle="1" w:styleId="Style3">
    <w:name w:val="Style3"/>
    <w:basedOn w:val="a"/>
    <w:uiPriority w:val="99"/>
    <w:rsid w:val="00F151D1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24">
    <w:name w:val="Font Style24"/>
    <w:uiPriority w:val="99"/>
    <w:rsid w:val="00F151D1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227227"/>
    <w:pPr>
      <w:spacing w:after="200" w:line="276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character" w:customStyle="1" w:styleId="FontStyle23">
    <w:name w:val="Font Style23"/>
    <w:uiPriority w:val="99"/>
    <w:rsid w:val="00227227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"/>
    <w:basedOn w:val="a"/>
    <w:link w:val="ab"/>
    <w:uiPriority w:val="99"/>
    <w:unhideWhenUsed/>
    <w:rsid w:val="00227227"/>
    <w:pPr>
      <w:spacing w:after="120"/>
    </w:pPr>
    <w:rPr>
      <w:lang/>
    </w:rPr>
  </w:style>
  <w:style w:type="character" w:customStyle="1" w:styleId="ab">
    <w:name w:val="Основной текст Знак"/>
    <w:link w:val="aa"/>
    <w:uiPriority w:val="99"/>
    <w:rsid w:val="002272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A235-48F5-47BD-869C-9096EEF2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КРГХ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DmitrievaNV</dc:creator>
  <cp:keywords/>
  <cp:lastModifiedBy>KondrashovaMV</cp:lastModifiedBy>
  <cp:revision>3</cp:revision>
  <cp:lastPrinted>2019-10-02T08:19:00Z</cp:lastPrinted>
  <dcterms:created xsi:type="dcterms:W3CDTF">2019-10-02T11:11:00Z</dcterms:created>
  <dcterms:modified xsi:type="dcterms:W3CDTF">2019-10-02T11:11:00Z</dcterms:modified>
</cp:coreProperties>
</file>