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33B" w:rsidRPr="008F733B" w:rsidRDefault="008F733B" w:rsidP="008F733B">
      <w:pPr>
        <w:jc w:val="center"/>
        <w:rPr>
          <w:rFonts w:ascii="Times New Roman" w:eastAsia="Calibri" w:hAnsi="Times New Roman"/>
          <w:szCs w:val="22"/>
          <w:lang w:eastAsia="en-US"/>
        </w:rPr>
      </w:pPr>
      <w:r w:rsidRPr="008F733B">
        <w:rPr>
          <w:rFonts w:ascii="Times New Roman" w:eastAsia="Calibri" w:hAnsi="Times New Roman"/>
          <w:noProof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1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F733B" w:rsidRPr="008F733B" w:rsidRDefault="008F733B" w:rsidP="008F733B">
      <w:pPr>
        <w:jc w:val="center"/>
        <w:rPr>
          <w:rFonts w:ascii="Times New Roman" w:eastAsia="Calibri" w:hAnsi="Times New Roman"/>
          <w:szCs w:val="22"/>
          <w:lang w:eastAsia="en-US"/>
        </w:rPr>
      </w:pPr>
    </w:p>
    <w:p w:rsidR="008F733B" w:rsidRPr="008F733B" w:rsidRDefault="008F733B" w:rsidP="008F733B">
      <w:pPr>
        <w:jc w:val="center"/>
        <w:rPr>
          <w:rFonts w:ascii="Times New Roman" w:eastAsia="Calibri" w:hAnsi="Times New Roman"/>
          <w:sz w:val="32"/>
          <w:szCs w:val="32"/>
          <w:lang w:eastAsia="en-US"/>
        </w:rPr>
      </w:pPr>
    </w:p>
    <w:p w:rsidR="00A64E58" w:rsidRPr="00A64E58" w:rsidRDefault="00A64E58" w:rsidP="00A64E58">
      <w:pPr>
        <w:keepNext/>
        <w:jc w:val="center"/>
        <w:rPr>
          <w:rFonts w:ascii="Times New Roman" w:hAnsi="Times New Roman"/>
          <w:b/>
          <w:color w:val="000000"/>
          <w:sz w:val="32"/>
          <w:szCs w:val="28"/>
        </w:rPr>
      </w:pPr>
      <w:r w:rsidRPr="00A64E58">
        <w:rPr>
          <w:rFonts w:ascii="Times New Roman" w:hAnsi="Times New Roman"/>
          <w:b/>
          <w:color w:val="000000"/>
          <w:sz w:val="32"/>
          <w:szCs w:val="28"/>
        </w:rPr>
        <w:t>АДМИНИСТРАЦИЯ ГОРОДА МУРМАНСКА</w:t>
      </w:r>
    </w:p>
    <w:p w:rsidR="00A64E58" w:rsidRPr="00A64E58" w:rsidRDefault="00A64E58" w:rsidP="00A64E58">
      <w:pPr>
        <w:jc w:val="center"/>
        <w:rPr>
          <w:rFonts w:ascii="Times New Roman" w:hAnsi="Times New Roman"/>
          <w:szCs w:val="28"/>
        </w:rPr>
      </w:pPr>
    </w:p>
    <w:p w:rsidR="00A64E58" w:rsidRPr="00A64E58" w:rsidRDefault="00A64E58" w:rsidP="00A64E58">
      <w:pPr>
        <w:keepNext/>
        <w:jc w:val="center"/>
        <w:outlineLvl w:val="4"/>
        <w:rPr>
          <w:rFonts w:ascii="Times New Roman" w:hAnsi="Times New Roman"/>
          <w:b/>
          <w:color w:val="000000"/>
          <w:sz w:val="32"/>
          <w:szCs w:val="28"/>
        </w:rPr>
      </w:pPr>
      <w:proofErr w:type="gramStart"/>
      <w:r w:rsidRPr="00A64E58">
        <w:rPr>
          <w:rFonts w:ascii="Times New Roman" w:hAnsi="Times New Roman"/>
          <w:b/>
          <w:color w:val="000000"/>
          <w:sz w:val="32"/>
          <w:szCs w:val="28"/>
        </w:rPr>
        <w:t>П</w:t>
      </w:r>
      <w:proofErr w:type="gramEnd"/>
      <w:r w:rsidRPr="00A64E58">
        <w:rPr>
          <w:rFonts w:ascii="Times New Roman" w:hAnsi="Times New Roman"/>
          <w:b/>
          <w:color w:val="000000"/>
          <w:sz w:val="32"/>
          <w:szCs w:val="28"/>
        </w:rPr>
        <w:t xml:space="preserve"> О С Т А Н О В Л Е Н И Е </w:t>
      </w:r>
    </w:p>
    <w:p w:rsidR="00A64E58" w:rsidRPr="00A64E58" w:rsidRDefault="00A64E58" w:rsidP="00A64E58">
      <w:pPr>
        <w:jc w:val="center"/>
        <w:rPr>
          <w:rFonts w:ascii="Times New Roman" w:hAnsi="Times New Roman"/>
          <w:szCs w:val="28"/>
        </w:rPr>
      </w:pPr>
    </w:p>
    <w:p w:rsidR="00A64E58" w:rsidRPr="00A64E58" w:rsidRDefault="00A64E58" w:rsidP="00A64E58">
      <w:pPr>
        <w:jc w:val="center"/>
        <w:rPr>
          <w:rFonts w:ascii="Times New Roman" w:hAnsi="Times New Roman"/>
          <w:szCs w:val="28"/>
        </w:rPr>
      </w:pPr>
    </w:p>
    <w:p w:rsidR="00A64E58" w:rsidRDefault="00A3535B" w:rsidP="00A64E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</w:t>
      </w:r>
      <w:r w:rsidR="008B0A8E" w:rsidRPr="008B0A8E">
        <w:rPr>
          <w:rFonts w:ascii="Times New Roman" w:hAnsi="Times New Roman"/>
        </w:rPr>
        <w:t>.</w:t>
      </w:r>
      <w:r>
        <w:rPr>
          <w:rFonts w:ascii="Times New Roman" w:hAnsi="Times New Roman"/>
        </w:rPr>
        <w:t>02</w:t>
      </w:r>
      <w:r w:rsidR="008B0A8E" w:rsidRPr="008B0A8E">
        <w:rPr>
          <w:rFonts w:ascii="Times New Roman" w:hAnsi="Times New Roman"/>
        </w:rPr>
        <w:t>.</w:t>
      </w:r>
      <w:r>
        <w:rPr>
          <w:rFonts w:ascii="Times New Roman" w:hAnsi="Times New Roman"/>
        </w:rPr>
        <w:t>2020</w:t>
      </w:r>
      <w:r w:rsidR="008B0A8E" w:rsidRPr="008B0A8E">
        <w:rPr>
          <w:rFonts w:ascii="Times New Roman" w:hAnsi="Times New Roman"/>
        </w:rPr>
        <w:t xml:space="preserve">                                                                                                        №</w:t>
      </w:r>
      <w:r>
        <w:rPr>
          <w:rFonts w:ascii="Times New Roman" w:hAnsi="Times New Roman"/>
        </w:rPr>
        <w:t xml:space="preserve"> 364</w:t>
      </w:r>
      <w:r w:rsidR="008B0A8E" w:rsidRPr="008B0A8E">
        <w:rPr>
          <w:rFonts w:ascii="Times New Roman" w:hAnsi="Times New Roman"/>
        </w:rPr>
        <w:t xml:space="preserve">     </w:t>
      </w:r>
    </w:p>
    <w:p w:rsidR="008B0A8E" w:rsidRPr="00A64E58" w:rsidRDefault="008B0A8E" w:rsidP="00A64E58">
      <w:pPr>
        <w:jc w:val="both"/>
        <w:rPr>
          <w:rFonts w:ascii="Times New Roman" w:hAnsi="Times New Roman"/>
        </w:rPr>
      </w:pPr>
    </w:p>
    <w:p w:rsidR="00A64E58" w:rsidRPr="00A64E58" w:rsidRDefault="00A64E58" w:rsidP="00A64E58">
      <w:pPr>
        <w:jc w:val="center"/>
        <w:rPr>
          <w:rFonts w:ascii="Times New Roman" w:hAnsi="Times New Roman"/>
        </w:rPr>
      </w:pPr>
    </w:p>
    <w:sdt>
      <w:sdtPr>
        <w:rPr>
          <w:rFonts w:ascii="Times New Roman" w:hAnsi="Times New Roman"/>
          <w:b/>
        </w:rPr>
        <w:id w:val="1461541337"/>
        <w:placeholder>
          <w:docPart w:val="3BCC20D2E8D245D0B1BCED0F315CC36B"/>
        </w:placeholder>
      </w:sdtPr>
      <w:sdtContent>
        <w:sdt>
          <w:sdtPr>
            <w:rPr>
              <w:rFonts w:ascii="Times New Roman" w:hAnsi="Times New Roman"/>
              <w:b/>
            </w:rPr>
            <w:id w:val="20450890"/>
            <w:placeholder>
              <w:docPart w:val="CDE597C45A954821BB8E3BAA8F2902DB"/>
            </w:placeholder>
          </w:sdtPr>
          <w:sdtContent>
            <w:p w:rsidR="00A64E58" w:rsidRPr="00A64E58" w:rsidRDefault="008B0A8E" w:rsidP="008B0A8E">
              <w:pPr>
                <w:jc w:val="center"/>
                <w:rPr>
                  <w:rFonts w:ascii="Times New Roman" w:hAnsi="Times New Roman"/>
                  <w:b/>
                </w:rPr>
              </w:pPr>
              <w:r w:rsidRPr="008B0A8E">
                <w:rPr>
                  <w:rFonts w:ascii="Times New Roman" w:hAnsi="Times New Roman"/>
                  <w:b/>
                </w:rPr>
                <w:t xml:space="preserve">О внесении изменений в </w:t>
              </w:r>
              <w:r w:rsidRPr="008B0A8E">
                <w:rPr>
                  <w:rFonts w:ascii="Times New Roman" w:eastAsia="Calibri" w:hAnsi="Times New Roman"/>
                  <w:b/>
                  <w:szCs w:val="28"/>
                  <w:lang w:eastAsia="en-US"/>
                </w:rPr>
                <w:t>Порядок формирования и ведения реестра инвестиционных проектов города Мурманска, реализуемых субъектами инвестиционной деятельности, утвержденный</w:t>
              </w:r>
              <w:r w:rsidRPr="008B0A8E">
                <w:rPr>
                  <w:rFonts w:ascii="Times New Roman" w:hAnsi="Times New Roman"/>
                  <w:b/>
                </w:rPr>
                <w:t xml:space="preserve"> постановлением администрации города Мурманска от 08.02.2018 № 322</w:t>
              </w:r>
            </w:p>
          </w:sdtContent>
        </w:sdt>
      </w:sdtContent>
    </w:sdt>
    <w:p w:rsidR="00A64E58" w:rsidRPr="00A64E58" w:rsidRDefault="00A64E58" w:rsidP="00A64E58">
      <w:pPr>
        <w:jc w:val="center"/>
        <w:rPr>
          <w:rFonts w:ascii="Times New Roman" w:hAnsi="Times New Roman"/>
          <w:szCs w:val="28"/>
        </w:rPr>
      </w:pPr>
    </w:p>
    <w:p w:rsidR="00A64E58" w:rsidRPr="00A64E58" w:rsidRDefault="00A64E58" w:rsidP="00A64E58">
      <w:pPr>
        <w:jc w:val="center"/>
        <w:rPr>
          <w:rFonts w:ascii="Times New Roman" w:hAnsi="Times New Roman"/>
          <w:szCs w:val="28"/>
        </w:rPr>
      </w:pPr>
    </w:p>
    <w:p w:rsidR="00A64E58" w:rsidRPr="00A64E58" w:rsidRDefault="008B0A8E" w:rsidP="00A64E5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8"/>
        </w:rPr>
      </w:pPr>
      <w:r w:rsidRPr="008B0A8E">
        <w:rPr>
          <w:rFonts w:ascii="Times New Roman" w:eastAsia="Calibri" w:hAnsi="Times New Roman"/>
          <w:spacing w:val="4"/>
          <w:szCs w:val="28"/>
          <w:lang w:eastAsia="en-US"/>
        </w:rPr>
        <w:t>В соответствии с</w:t>
      </w:r>
      <w:r w:rsidRPr="008B0A8E">
        <w:rPr>
          <w:rFonts w:ascii="Times New Roman" w:eastAsia="Calibri" w:hAnsi="Times New Roman"/>
          <w:szCs w:val="28"/>
          <w:lang w:eastAsia="en-US"/>
        </w:rPr>
        <w:t xml:space="preserve"> </w:t>
      </w:r>
      <w:r w:rsidRPr="008B0A8E">
        <w:rPr>
          <w:rFonts w:ascii="Times New Roman" w:eastAsia="Calibri" w:hAnsi="Times New Roman"/>
          <w:spacing w:val="4"/>
          <w:szCs w:val="28"/>
          <w:lang w:eastAsia="en-US"/>
        </w:rPr>
        <w:t>распоряжением Правительства Мурманской области от 15.08.2014 № 200-РП «О</w:t>
      </w:r>
      <w:r w:rsidRPr="008B0A8E">
        <w:rPr>
          <w:rFonts w:ascii="Times New Roman" w:eastAsia="Calibri" w:hAnsi="Times New Roman"/>
          <w:szCs w:val="26"/>
          <w:lang w:eastAsia="en-US"/>
        </w:rPr>
        <w:t xml:space="preserve"> Стандарте деятельности органов местного самоуправления муниципальных районов и городских округов Мурманской области по обеспечению благоприятного инвестиционного климата на территории муниципального образования», регламентом сопровождения инвестиционных проектов, планируемых к реализации и реализуемых на территории города Мурманска, утвержденным постановлением администрации города Мурманска от 28.05.2014 № 1610,</w:t>
      </w:r>
      <w:r w:rsidR="00A64E58" w:rsidRPr="00A64E58">
        <w:rPr>
          <w:rFonts w:ascii="Times New Roman" w:hAnsi="Times New Roman"/>
          <w:b/>
          <w:szCs w:val="28"/>
        </w:rPr>
        <w:t xml:space="preserve"> </w:t>
      </w:r>
      <w:proofErr w:type="gramStart"/>
      <w:r w:rsidR="00A64E58" w:rsidRPr="00A64E58">
        <w:rPr>
          <w:rFonts w:ascii="Times New Roman" w:hAnsi="Times New Roman"/>
          <w:b/>
          <w:szCs w:val="28"/>
        </w:rPr>
        <w:t>п</w:t>
      </w:r>
      <w:proofErr w:type="gramEnd"/>
      <w:r w:rsidR="00A64E58" w:rsidRPr="00A64E58">
        <w:rPr>
          <w:rFonts w:ascii="Times New Roman" w:hAnsi="Times New Roman"/>
          <w:b/>
          <w:szCs w:val="28"/>
        </w:rPr>
        <w:t xml:space="preserve"> о с т а н о в </w:t>
      </w:r>
      <w:proofErr w:type="gramStart"/>
      <w:r w:rsidR="00A64E58" w:rsidRPr="00A64E58">
        <w:rPr>
          <w:rFonts w:ascii="Times New Roman" w:hAnsi="Times New Roman"/>
          <w:b/>
          <w:szCs w:val="28"/>
        </w:rPr>
        <w:t>л</w:t>
      </w:r>
      <w:proofErr w:type="gramEnd"/>
      <w:r w:rsidR="00A64E58" w:rsidRPr="00A64E58">
        <w:rPr>
          <w:rFonts w:ascii="Times New Roman" w:hAnsi="Times New Roman"/>
          <w:b/>
          <w:szCs w:val="28"/>
        </w:rPr>
        <w:t xml:space="preserve"> я ю:</w:t>
      </w:r>
      <w:r w:rsidR="00A64E58" w:rsidRPr="00A64E58">
        <w:rPr>
          <w:rFonts w:ascii="Times New Roman" w:hAnsi="Times New Roman"/>
          <w:szCs w:val="28"/>
        </w:rPr>
        <w:t xml:space="preserve"> </w:t>
      </w:r>
    </w:p>
    <w:p w:rsidR="00A64E58" w:rsidRPr="00A64E58" w:rsidRDefault="00A64E58" w:rsidP="00A64E5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8"/>
        </w:rPr>
      </w:pPr>
    </w:p>
    <w:p w:rsidR="001E4352" w:rsidRPr="001E4352" w:rsidRDefault="001E4352" w:rsidP="001E435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  <w:r w:rsidRPr="001E4352">
        <w:rPr>
          <w:rFonts w:ascii="Times New Roman" w:eastAsia="Calibri" w:hAnsi="Times New Roman"/>
          <w:szCs w:val="28"/>
          <w:lang w:eastAsia="en-US"/>
        </w:rPr>
        <w:t>1. Внести в Порядок формирования и ведения реестра инвестиционных проектов города Мурманска, реализуемых субъектами инвестиционной деятельности, утвержденный постановлением администрации города Мурманска от 08.02.2018 № 322 (далее – Порядок), следующие изменения:</w:t>
      </w:r>
    </w:p>
    <w:p w:rsidR="001E4352" w:rsidRPr="001E4352" w:rsidRDefault="001E4352" w:rsidP="005B1FA0">
      <w:pPr>
        <w:autoSpaceDE w:val="0"/>
        <w:autoSpaceDN w:val="0"/>
        <w:adjustRightInd w:val="0"/>
        <w:spacing w:after="16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-</w:t>
      </w:r>
      <w:r w:rsidRPr="001E4352">
        <w:rPr>
          <w:rFonts w:ascii="Times New Roman" w:eastAsia="Calibri" w:hAnsi="Times New Roman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Cs w:val="28"/>
          <w:lang w:eastAsia="en-US"/>
        </w:rPr>
        <w:t>п</w:t>
      </w:r>
      <w:r w:rsidRPr="001E4352">
        <w:rPr>
          <w:rFonts w:ascii="Times New Roman" w:hAnsi="Times New Roman"/>
          <w:szCs w:val="28"/>
        </w:rPr>
        <w:t>риложение № 1 к Порядку изложить в новой редакции согласно приложению к настоящему постановлению.</w:t>
      </w:r>
    </w:p>
    <w:p w:rsidR="001E4352" w:rsidRPr="001E4352" w:rsidRDefault="001E4352" w:rsidP="005B1FA0">
      <w:pPr>
        <w:autoSpaceDE w:val="0"/>
        <w:autoSpaceDN w:val="0"/>
        <w:adjustRightInd w:val="0"/>
        <w:spacing w:after="16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  <w:r w:rsidRPr="001E4352">
        <w:rPr>
          <w:rFonts w:ascii="Times New Roman" w:eastAsia="Calibri" w:hAnsi="Times New Roman"/>
          <w:szCs w:val="28"/>
          <w:lang w:eastAsia="en-US"/>
        </w:rP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E4352">
        <w:rPr>
          <w:rFonts w:ascii="Times New Roman" w:eastAsia="Calibri" w:hAnsi="Times New Roman"/>
          <w:szCs w:val="28"/>
          <w:lang w:eastAsia="en-US"/>
        </w:rPr>
        <w:t>разместить</w:t>
      </w:r>
      <w:proofErr w:type="gramEnd"/>
      <w:r w:rsidRPr="001E4352">
        <w:rPr>
          <w:rFonts w:ascii="Times New Roman" w:eastAsia="Calibri" w:hAnsi="Times New Roman"/>
          <w:szCs w:val="28"/>
          <w:lang w:eastAsia="en-US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:rsidR="001E4352" w:rsidRPr="001E4352" w:rsidRDefault="001E4352" w:rsidP="005B1FA0">
      <w:pPr>
        <w:autoSpaceDE w:val="0"/>
        <w:autoSpaceDN w:val="0"/>
        <w:adjustRightInd w:val="0"/>
        <w:spacing w:after="16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  <w:r w:rsidRPr="001E4352">
        <w:rPr>
          <w:rFonts w:ascii="Times New Roman" w:eastAsia="Calibri" w:hAnsi="Times New Roman"/>
          <w:szCs w:val="28"/>
          <w:lang w:eastAsia="en-US"/>
        </w:rPr>
        <w:t>3. Редакции газеты «Вечерний Мурманск» (</w:t>
      </w:r>
      <w:proofErr w:type="gramStart"/>
      <w:r w:rsidRPr="001E4352">
        <w:rPr>
          <w:rFonts w:ascii="Times New Roman" w:eastAsia="Calibri" w:hAnsi="Times New Roman"/>
          <w:szCs w:val="28"/>
          <w:lang w:eastAsia="en-US"/>
        </w:rPr>
        <w:t>Хабаров</w:t>
      </w:r>
      <w:proofErr w:type="gramEnd"/>
      <w:r w:rsidRPr="001E4352">
        <w:rPr>
          <w:rFonts w:ascii="Times New Roman" w:eastAsia="Calibri" w:hAnsi="Times New Roman"/>
          <w:szCs w:val="28"/>
          <w:lang w:eastAsia="en-US"/>
        </w:rPr>
        <w:t xml:space="preserve"> В.А.) опубликовать настоящее постановление с приложением.</w:t>
      </w:r>
    </w:p>
    <w:p w:rsidR="001E4352" w:rsidRPr="001E4352" w:rsidRDefault="001E4352" w:rsidP="005B1FA0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  <w:r w:rsidRPr="001E4352">
        <w:rPr>
          <w:rFonts w:ascii="Times New Roman" w:eastAsia="Calibri" w:hAnsi="Times New Roman"/>
          <w:szCs w:val="28"/>
          <w:lang w:eastAsia="en-US"/>
        </w:rPr>
        <w:t>4. Настоящее постановление вступает в силу со дня официального опубликования.</w:t>
      </w:r>
    </w:p>
    <w:p w:rsidR="005B1FA0" w:rsidRDefault="005B1FA0" w:rsidP="005B1FA0">
      <w:pPr>
        <w:widowControl w:val="0"/>
        <w:autoSpaceDE w:val="0"/>
        <w:autoSpaceDN w:val="0"/>
        <w:adjustRightInd w:val="0"/>
        <w:spacing w:after="16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</w:p>
    <w:p w:rsidR="00A64E58" w:rsidRPr="00A64E58" w:rsidRDefault="001E4352" w:rsidP="005B1FA0">
      <w:pPr>
        <w:widowControl w:val="0"/>
        <w:autoSpaceDE w:val="0"/>
        <w:autoSpaceDN w:val="0"/>
        <w:adjustRightInd w:val="0"/>
        <w:spacing w:after="160"/>
        <w:ind w:firstLine="709"/>
        <w:jc w:val="both"/>
        <w:rPr>
          <w:rFonts w:ascii="Times New Roman" w:hAnsi="Times New Roman"/>
          <w:szCs w:val="28"/>
        </w:rPr>
      </w:pPr>
      <w:r w:rsidRPr="001E4352">
        <w:rPr>
          <w:rFonts w:ascii="Times New Roman" w:eastAsia="Calibri" w:hAnsi="Times New Roman"/>
          <w:szCs w:val="28"/>
          <w:lang w:eastAsia="en-US"/>
        </w:rPr>
        <w:lastRenderedPageBreak/>
        <w:t xml:space="preserve">5. </w:t>
      </w:r>
      <w:proofErr w:type="gramStart"/>
      <w:r w:rsidRPr="001E4352">
        <w:rPr>
          <w:rFonts w:ascii="Times New Roman" w:eastAsia="Calibri" w:hAnsi="Times New Roman"/>
          <w:szCs w:val="28"/>
          <w:lang w:eastAsia="en-US"/>
        </w:rPr>
        <w:t>Контроль за</w:t>
      </w:r>
      <w:proofErr w:type="gramEnd"/>
      <w:r w:rsidRPr="001E4352">
        <w:rPr>
          <w:rFonts w:ascii="Times New Roman" w:eastAsia="Calibri" w:hAnsi="Times New Roman"/>
          <w:szCs w:val="28"/>
          <w:lang w:eastAsia="en-US"/>
        </w:rPr>
        <w:t xml:space="preserve"> выполнением настоящего постановления оставляю за собой.</w:t>
      </w:r>
    </w:p>
    <w:p w:rsidR="00A64E58" w:rsidRPr="001E4352" w:rsidRDefault="00A64E58" w:rsidP="00A64E58">
      <w:pPr>
        <w:jc w:val="both"/>
        <w:rPr>
          <w:rFonts w:ascii="Times New Roman" w:hAnsi="Times New Roman"/>
          <w:sz w:val="26"/>
          <w:szCs w:val="26"/>
        </w:rPr>
      </w:pPr>
    </w:p>
    <w:p w:rsidR="00A64E58" w:rsidRPr="001E4352" w:rsidRDefault="00A64E58" w:rsidP="00A64E58">
      <w:pPr>
        <w:jc w:val="both"/>
        <w:rPr>
          <w:rFonts w:ascii="Times New Roman" w:hAnsi="Times New Roman"/>
          <w:sz w:val="26"/>
          <w:szCs w:val="26"/>
        </w:rPr>
      </w:pPr>
    </w:p>
    <w:p w:rsidR="00A64E58" w:rsidRPr="001E4352" w:rsidRDefault="00A64E58" w:rsidP="00A64E58">
      <w:pPr>
        <w:jc w:val="both"/>
        <w:rPr>
          <w:rFonts w:ascii="Times New Roman" w:hAnsi="Times New Roman"/>
          <w:sz w:val="26"/>
          <w:szCs w:val="26"/>
        </w:rPr>
      </w:pPr>
    </w:p>
    <w:p w:rsidR="00A64E58" w:rsidRPr="00A64E58" w:rsidRDefault="00A64E58" w:rsidP="00A64E58">
      <w:pPr>
        <w:jc w:val="both"/>
        <w:rPr>
          <w:rFonts w:ascii="Times New Roman" w:hAnsi="Times New Roman"/>
          <w:b/>
        </w:rPr>
      </w:pPr>
      <w:r w:rsidRPr="00A64E58">
        <w:rPr>
          <w:rFonts w:ascii="Times New Roman" w:hAnsi="Times New Roman"/>
          <w:b/>
        </w:rPr>
        <w:t xml:space="preserve">Глава администрации </w:t>
      </w:r>
    </w:p>
    <w:p w:rsidR="00A64E58" w:rsidRDefault="00A64E58" w:rsidP="001E4352">
      <w:pPr>
        <w:jc w:val="both"/>
        <w:rPr>
          <w:rFonts w:ascii="Times New Roman" w:hAnsi="Times New Roman"/>
          <w:bCs/>
          <w:szCs w:val="28"/>
        </w:rPr>
      </w:pPr>
      <w:r w:rsidRPr="00A64E58">
        <w:rPr>
          <w:rFonts w:ascii="Times New Roman" w:hAnsi="Times New Roman"/>
          <w:b/>
        </w:rPr>
        <w:t xml:space="preserve">города Мурманска                                                                                 Е.В. </w:t>
      </w:r>
      <w:proofErr w:type="spellStart"/>
      <w:r w:rsidRPr="00A64E58">
        <w:rPr>
          <w:rFonts w:ascii="Times New Roman" w:hAnsi="Times New Roman"/>
          <w:b/>
        </w:rPr>
        <w:t>Никора</w:t>
      </w:r>
      <w:proofErr w:type="spellEnd"/>
    </w:p>
    <w:p w:rsidR="001B2345" w:rsidRDefault="001B2345" w:rsidP="00A64E58">
      <w:pPr>
        <w:autoSpaceDE w:val="0"/>
        <w:autoSpaceDN w:val="0"/>
        <w:adjustRightInd w:val="0"/>
        <w:ind w:left="5245"/>
        <w:jc w:val="center"/>
        <w:rPr>
          <w:rFonts w:ascii="Times New Roman" w:hAnsi="Times New Roman"/>
          <w:bCs/>
          <w:szCs w:val="28"/>
        </w:rPr>
        <w:sectPr w:rsidR="001B2345" w:rsidSect="005B1FA0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8251FE" w:rsidRPr="009E6E28" w:rsidRDefault="008251FE" w:rsidP="008251FE">
      <w:pPr>
        <w:pStyle w:val="ConsPlusNonformat"/>
        <w:ind w:left="1020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E6E2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8251FE" w:rsidRPr="009E6E28" w:rsidRDefault="008251FE" w:rsidP="008251FE">
      <w:pPr>
        <w:pStyle w:val="ConsPlusNonformat"/>
        <w:ind w:left="1020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 w:rsidRPr="009E6E28">
        <w:rPr>
          <w:rFonts w:ascii="Times New Roman" w:hAnsi="Times New Roman" w:cs="Times New Roman"/>
          <w:sz w:val="28"/>
          <w:szCs w:val="28"/>
          <w:lang w:eastAsia="ru-RU"/>
        </w:rPr>
        <w:t>администрации города Мурманска</w:t>
      </w:r>
    </w:p>
    <w:p w:rsidR="008251FE" w:rsidRDefault="008251FE" w:rsidP="008251FE">
      <w:pPr>
        <w:pStyle w:val="ConsPlusNonformat"/>
        <w:ind w:left="1020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E6E28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="00F33B9B">
        <w:rPr>
          <w:rFonts w:ascii="Times New Roman" w:hAnsi="Times New Roman" w:cs="Times New Roman"/>
          <w:sz w:val="28"/>
          <w:szCs w:val="28"/>
          <w:lang w:eastAsia="ru-RU"/>
        </w:rPr>
        <w:t>13.02.2020</w:t>
      </w:r>
      <w:r w:rsidRPr="009E6E28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F33B9B">
        <w:rPr>
          <w:rFonts w:ascii="Times New Roman" w:hAnsi="Times New Roman" w:cs="Times New Roman"/>
          <w:sz w:val="28"/>
          <w:szCs w:val="28"/>
          <w:lang w:eastAsia="ru-RU"/>
        </w:rPr>
        <w:t>364</w:t>
      </w:r>
    </w:p>
    <w:p w:rsidR="008251FE" w:rsidRPr="008251FE" w:rsidRDefault="008251FE" w:rsidP="008251FE">
      <w:pPr>
        <w:autoSpaceDE w:val="0"/>
        <w:autoSpaceDN w:val="0"/>
        <w:adjustRightInd w:val="0"/>
        <w:ind w:left="10206"/>
        <w:jc w:val="center"/>
        <w:rPr>
          <w:rFonts w:ascii="Times New Roman" w:hAnsi="Times New Roman"/>
          <w:szCs w:val="28"/>
          <w:lang w:eastAsia="en-US"/>
        </w:rPr>
      </w:pPr>
    </w:p>
    <w:p w:rsidR="008251FE" w:rsidRPr="008251FE" w:rsidRDefault="008251FE" w:rsidP="008251FE">
      <w:pPr>
        <w:autoSpaceDE w:val="0"/>
        <w:autoSpaceDN w:val="0"/>
        <w:adjustRightInd w:val="0"/>
        <w:ind w:left="10206"/>
        <w:jc w:val="center"/>
        <w:rPr>
          <w:rFonts w:ascii="Times New Roman" w:hAnsi="Times New Roman"/>
          <w:szCs w:val="28"/>
          <w:lang w:eastAsia="en-US"/>
        </w:rPr>
      </w:pPr>
      <w:r w:rsidRPr="008251FE">
        <w:rPr>
          <w:rFonts w:ascii="Times New Roman" w:hAnsi="Times New Roman"/>
          <w:szCs w:val="28"/>
          <w:lang w:eastAsia="en-US"/>
        </w:rPr>
        <w:t>Приложение № 1</w:t>
      </w:r>
    </w:p>
    <w:p w:rsidR="008251FE" w:rsidRPr="008251FE" w:rsidRDefault="008251FE" w:rsidP="008251FE">
      <w:pPr>
        <w:autoSpaceDE w:val="0"/>
        <w:autoSpaceDN w:val="0"/>
        <w:adjustRightInd w:val="0"/>
        <w:ind w:left="10206"/>
        <w:jc w:val="center"/>
        <w:rPr>
          <w:rFonts w:ascii="Times New Roman" w:hAnsi="Times New Roman"/>
          <w:szCs w:val="28"/>
          <w:lang w:eastAsia="en-US"/>
        </w:rPr>
      </w:pPr>
      <w:r w:rsidRPr="008251FE">
        <w:rPr>
          <w:rFonts w:ascii="Times New Roman" w:hAnsi="Times New Roman"/>
          <w:szCs w:val="28"/>
          <w:lang w:eastAsia="en-US"/>
        </w:rPr>
        <w:t>к Порядку</w:t>
      </w:r>
    </w:p>
    <w:p w:rsidR="008251FE" w:rsidRPr="008251FE" w:rsidRDefault="008251FE" w:rsidP="008251FE">
      <w:pPr>
        <w:jc w:val="center"/>
        <w:rPr>
          <w:rFonts w:ascii="Times New Roman" w:hAnsi="Times New Roman"/>
          <w:color w:val="000000"/>
          <w:szCs w:val="28"/>
        </w:rPr>
      </w:pPr>
    </w:p>
    <w:p w:rsidR="008251FE" w:rsidRPr="008251FE" w:rsidRDefault="008251FE" w:rsidP="008251FE">
      <w:pPr>
        <w:jc w:val="center"/>
        <w:rPr>
          <w:rFonts w:ascii="Times New Roman" w:hAnsi="Times New Roman"/>
          <w:color w:val="000000"/>
          <w:szCs w:val="28"/>
        </w:rPr>
      </w:pPr>
      <w:r w:rsidRPr="008251FE">
        <w:rPr>
          <w:rFonts w:ascii="Times New Roman" w:hAnsi="Times New Roman"/>
          <w:color w:val="000000"/>
          <w:szCs w:val="28"/>
        </w:rPr>
        <w:t xml:space="preserve">Реестр инвестиционных проектов </w:t>
      </w:r>
      <w:r w:rsidRPr="008251FE">
        <w:rPr>
          <w:rFonts w:ascii="Times New Roman" w:hAnsi="Times New Roman"/>
          <w:color w:val="000000"/>
          <w:szCs w:val="28"/>
        </w:rPr>
        <w:br/>
        <w:t xml:space="preserve">на территории муниципального образования город Мурманск </w:t>
      </w:r>
      <w:proofErr w:type="gramStart"/>
      <w:r w:rsidRPr="008251FE">
        <w:rPr>
          <w:rFonts w:ascii="Times New Roman" w:hAnsi="Times New Roman"/>
          <w:color w:val="000000"/>
          <w:szCs w:val="28"/>
        </w:rPr>
        <w:t>на</w:t>
      </w:r>
      <w:proofErr w:type="gramEnd"/>
      <w:r w:rsidRPr="008251FE">
        <w:rPr>
          <w:rFonts w:ascii="Times New Roman" w:hAnsi="Times New Roman"/>
          <w:color w:val="000000"/>
          <w:szCs w:val="28"/>
        </w:rPr>
        <w:t xml:space="preserve"> ___.____._______</w:t>
      </w:r>
    </w:p>
    <w:p w:rsidR="008251FE" w:rsidRPr="008251FE" w:rsidRDefault="008251FE" w:rsidP="008251FE">
      <w:pPr>
        <w:jc w:val="center"/>
        <w:rPr>
          <w:rFonts w:ascii="Times New Roman" w:hAnsi="Times New Roman"/>
          <w:color w:val="000000"/>
          <w:szCs w:val="2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511"/>
        <w:gridCol w:w="2572"/>
        <w:gridCol w:w="1470"/>
        <w:gridCol w:w="1230"/>
        <w:gridCol w:w="1683"/>
        <w:gridCol w:w="1192"/>
        <w:gridCol w:w="988"/>
        <w:gridCol w:w="1419"/>
        <w:gridCol w:w="494"/>
        <w:gridCol w:w="494"/>
        <w:gridCol w:w="500"/>
        <w:gridCol w:w="494"/>
        <w:gridCol w:w="509"/>
        <w:gridCol w:w="1230"/>
      </w:tblGrid>
      <w:tr w:rsidR="008251FE" w:rsidRPr="008251FE" w:rsidTr="00F83C4A">
        <w:trPr>
          <w:trHeight w:val="844"/>
        </w:trPr>
        <w:tc>
          <w:tcPr>
            <w:tcW w:w="173" w:type="pct"/>
            <w:vMerge w:val="restart"/>
            <w:shd w:val="clear" w:color="auto" w:fill="auto"/>
            <w:vAlign w:val="center"/>
            <w:hideMark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1FE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</w:p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251FE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8251FE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8251FE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70" w:type="pct"/>
            <w:vMerge w:val="restart"/>
            <w:shd w:val="clear" w:color="auto" w:fill="auto"/>
            <w:vAlign w:val="center"/>
            <w:hideMark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1FE">
              <w:rPr>
                <w:rFonts w:ascii="Times New Roman" w:hAnsi="Times New Roman"/>
                <w:sz w:val="18"/>
                <w:szCs w:val="18"/>
              </w:rPr>
              <w:t xml:space="preserve">Наименование инвестиционного проекта / инвестиционного объекта, вид производимых работ (строительство / реконструкция и др.), ОКВЭД, место расположения </w:t>
            </w:r>
          </w:p>
        </w:tc>
        <w:tc>
          <w:tcPr>
            <w:tcW w:w="497" w:type="pct"/>
            <w:vMerge w:val="restart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1FE">
              <w:rPr>
                <w:rFonts w:ascii="Times New Roman" w:hAnsi="Times New Roman"/>
                <w:sz w:val="18"/>
                <w:szCs w:val="18"/>
              </w:rPr>
              <w:t xml:space="preserve">Наименование организации </w:t>
            </w:r>
            <w:proofErr w:type="gramStart"/>
            <w:r w:rsidRPr="008251FE">
              <w:rPr>
                <w:rFonts w:ascii="Times New Roman" w:hAnsi="Times New Roman"/>
                <w:sz w:val="18"/>
                <w:szCs w:val="18"/>
              </w:rPr>
              <w:t>-и</w:t>
            </w:r>
            <w:proofErr w:type="gramEnd"/>
            <w:r w:rsidRPr="008251FE">
              <w:rPr>
                <w:rFonts w:ascii="Times New Roman" w:hAnsi="Times New Roman"/>
                <w:sz w:val="18"/>
                <w:szCs w:val="18"/>
              </w:rPr>
              <w:t xml:space="preserve">нициатора инвестиционного проекта / куратор </w:t>
            </w:r>
          </w:p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1FE">
              <w:rPr>
                <w:rFonts w:ascii="Times New Roman" w:hAnsi="Times New Roman"/>
                <w:sz w:val="18"/>
                <w:szCs w:val="18"/>
              </w:rPr>
              <w:t>объекта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  <w:hideMark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1FE">
              <w:rPr>
                <w:rFonts w:ascii="Times New Roman" w:hAnsi="Times New Roman"/>
                <w:sz w:val="18"/>
                <w:szCs w:val="18"/>
              </w:rPr>
              <w:t>Форма собственности</w:t>
            </w:r>
          </w:p>
        </w:tc>
        <w:tc>
          <w:tcPr>
            <w:tcW w:w="569" w:type="pct"/>
            <w:vMerge w:val="restart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1FE">
              <w:rPr>
                <w:rFonts w:ascii="Times New Roman" w:hAnsi="Times New Roman"/>
                <w:sz w:val="18"/>
                <w:szCs w:val="18"/>
              </w:rPr>
              <w:t xml:space="preserve">Адрес месторасположения объекта </w:t>
            </w:r>
          </w:p>
        </w:tc>
        <w:tc>
          <w:tcPr>
            <w:tcW w:w="403" w:type="pct"/>
            <w:vMerge w:val="restart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1FE">
              <w:rPr>
                <w:rFonts w:ascii="Times New Roman" w:hAnsi="Times New Roman"/>
                <w:sz w:val="18"/>
                <w:szCs w:val="18"/>
              </w:rPr>
              <w:t>Сроки реализации, в т.ч. по годам</w:t>
            </w:r>
          </w:p>
        </w:tc>
        <w:tc>
          <w:tcPr>
            <w:tcW w:w="334" w:type="pct"/>
            <w:vMerge w:val="restart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1FE">
              <w:rPr>
                <w:rFonts w:ascii="Times New Roman" w:hAnsi="Times New Roman"/>
                <w:sz w:val="18"/>
                <w:szCs w:val="18"/>
              </w:rPr>
              <w:t xml:space="preserve">Объем инвестиций  (тыс. руб.), всего, </w:t>
            </w:r>
          </w:p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1FE">
              <w:rPr>
                <w:rFonts w:ascii="Times New Roman" w:hAnsi="Times New Roman"/>
                <w:sz w:val="18"/>
                <w:szCs w:val="18"/>
              </w:rPr>
              <w:t>в т.ч. по годам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  <w:hideMark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1FE">
              <w:rPr>
                <w:rFonts w:ascii="Times New Roman" w:hAnsi="Times New Roman"/>
                <w:sz w:val="18"/>
                <w:szCs w:val="18"/>
              </w:rPr>
              <w:t>Потребность в финансировании  (тыс. руб.),</w:t>
            </w:r>
          </w:p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1FE">
              <w:rPr>
                <w:rFonts w:ascii="Times New Roman" w:hAnsi="Times New Roman"/>
                <w:sz w:val="18"/>
                <w:szCs w:val="18"/>
              </w:rPr>
              <w:t xml:space="preserve">всего, </w:t>
            </w:r>
          </w:p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1FE">
              <w:rPr>
                <w:rFonts w:ascii="Times New Roman" w:hAnsi="Times New Roman"/>
                <w:sz w:val="18"/>
                <w:szCs w:val="18"/>
              </w:rPr>
              <w:t>в т.ч. по годам</w:t>
            </w:r>
          </w:p>
        </w:tc>
        <w:tc>
          <w:tcPr>
            <w:tcW w:w="842" w:type="pct"/>
            <w:gridSpan w:val="5"/>
            <w:shd w:val="clear" w:color="auto" w:fill="auto"/>
            <w:vAlign w:val="center"/>
            <w:hideMark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1FE">
              <w:rPr>
                <w:rFonts w:ascii="Times New Roman" w:hAnsi="Times New Roman"/>
                <w:sz w:val="18"/>
                <w:szCs w:val="18"/>
              </w:rPr>
              <w:t xml:space="preserve">Источники финансирования (тыс. руб.), всего, </w:t>
            </w:r>
          </w:p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1FE">
              <w:rPr>
                <w:rFonts w:ascii="Times New Roman" w:hAnsi="Times New Roman"/>
                <w:sz w:val="18"/>
                <w:szCs w:val="18"/>
              </w:rPr>
              <w:t>в т.ч. по годам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  <w:hideMark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1FE">
              <w:rPr>
                <w:rFonts w:ascii="Times New Roman" w:hAnsi="Times New Roman"/>
                <w:sz w:val="18"/>
                <w:szCs w:val="18"/>
              </w:rPr>
              <w:t>Год ввода объекта в эксплуатацию</w:t>
            </w:r>
          </w:p>
        </w:tc>
      </w:tr>
      <w:tr w:rsidR="008251FE" w:rsidRPr="008251FE" w:rsidTr="00F83C4A">
        <w:trPr>
          <w:cantSplit/>
          <w:trHeight w:val="576"/>
        </w:trPr>
        <w:tc>
          <w:tcPr>
            <w:tcW w:w="173" w:type="pct"/>
            <w:vMerge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0" w:type="pct"/>
            <w:vMerge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pct"/>
            <w:vMerge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pct"/>
            <w:vMerge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3" w:type="pct"/>
            <w:vMerge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" w:type="pct"/>
            <w:vMerge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extDirection w:val="btLr"/>
            <w:vAlign w:val="center"/>
          </w:tcPr>
          <w:p w:rsidR="008251FE" w:rsidRPr="008251FE" w:rsidRDefault="008251FE" w:rsidP="008251FE">
            <w:pPr>
              <w:ind w:left="-102" w:right="-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1FE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67" w:type="pct"/>
            <w:shd w:val="clear" w:color="auto" w:fill="auto"/>
            <w:textDirection w:val="btLr"/>
            <w:vAlign w:val="center"/>
          </w:tcPr>
          <w:p w:rsidR="008251FE" w:rsidRPr="008251FE" w:rsidRDefault="008251FE" w:rsidP="008251FE">
            <w:pPr>
              <w:ind w:left="-102" w:right="-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1FE">
              <w:rPr>
                <w:rFonts w:ascii="Times New Roman" w:hAnsi="Times New Roman"/>
                <w:sz w:val="18"/>
                <w:szCs w:val="18"/>
              </w:rPr>
              <w:t>ФБ</w:t>
            </w:r>
          </w:p>
        </w:tc>
        <w:tc>
          <w:tcPr>
            <w:tcW w:w="169" w:type="pct"/>
            <w:shd w:val="clear" w:color="auto" w:fill="auto"/>
            <w:textDirection w:val="btLr"/>
            <w:vAlign w:val="center"/>
          </w:tcPr>
          <w:p w:rsidR="008251FE" w:rsidRPr="008251FE" w:rsidRDefault="008251FE" w:rsidP="008251FE">
            <w:pPr>
              <w:ind w:left="-102" w:right="-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1FE">
              <w:rPr>
                <w:rFonts w:ascii="Times New Roman" w:hAnsi="Times New Roman"/>
                <w:sz w:val="18"/>
                <w:szCs w:val="18"/>
              </w:rPr>
              <w:t>ОБ</w:t>
            </w:r>
          </w:p>
        </w:tc>
        <w:tc>
          <w:tcPr>
            <w:tcW w:w="167" w:type="pct"/>
            <w:shd w:val="clear" w:color="auto" w:fill="auto"/>
            <w:textDirection w:val="btLr"/>
            <w:vAlign w:val="center"/>
          </w:tcPr>
          <w:p w:rsidR="008251FE" w:rsidRPr="008251FE" w:rsidRDefault="008251FE" w:rsidP="008251FE">
            <w:pPr>
              <w:ind w:left="-102" w:right="-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1FE">
              <w:rPr>
                <w:rFonts w:ascii="Times New Roman" w:hAnsi="Times New Roman"/>
                <w:sz w:val="18"/>
                <w:szCs w:val="18"/>
              </w:rPr>
              <w:t>МБ</w:t>
            </w:r>
          </w:p>
        </w:tc>
        <w:tc>
          <w:tcPr>
            <w:tcW w:w="172" w:type="pct"/>
            <w:shd w:val="clear" w:color="auto" w:fill="auto"/>
            <w:textDirection w:val="btLr"/>
            <w:vAlign w:val="center"/>
          </w:tcPr>
          <w:p w:rsidR="008251FE" w:rsidRPr="008251FE" w:rsidRDefault="008251FE" w:rsidP="008251FE">
            <w:pPr>
              <w:ind w:left="-102" w:right="-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1FE">
              <w:rPr>
                <w:rFonts w:ascii="Times New Roman" w:hAnsi="Times New Roman"/>
                <w:sz w:val="18"/>
                <w:szCs w:val="18"/>
              </w:rPr>
              <w:t>ВБС</w:t>
            </w: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251FE" w:rsidRPr="008251FE" w:rsidTr="00F83C4A">
        <w:trPr>
          <w:cantSplit/>
          <w:trHeight w:val="292"/>
        </w:trPr>
        <w:tc>
          <w:tcPr>
            <w:tcW w:w="173" w:type="pc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251FE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0" w:type="pc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251FE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97" w:type="pct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251FE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251FE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9" w:type="pct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251FE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3" w:type="pct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251FE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34" w:type="pct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251FE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251FE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7" w:type="pc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251FE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7" w:type="pc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251FE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251FE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7" w:type="pc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251FE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251FE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251FE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</w:tr>
      <w:tr w:rsidR="008251FE" w:rsidRPr="008251FE" w:rsidTr="00F83C4A">
        <w:trPr>
          <w:cantSplit/>
          <w:trHeight w:val="292"/>
        </w:trPr>
        <w:tc>
          <w:tcPr>
            <w:tcW w:w="173" w:type="pct"/>
            <w:vMerge w:val="restar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251FE">
              <w:rPr>
                <w:rFonts w:ascii="Times New Roman" w:hAnsi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870" w:type="pct"/>
            <w:vMerge w:val="restar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251FE">
              <w:rPr>
                <w:rFonts w:ascii="Times New Roman" w:hAnsi="Times New Roman"/>
                <w:color w:val="000000"/>
                <w:sz w:val="18"/>
                <w:szCs w:val="18"/>
              </w:rPr>
              <w:t>&lt;Инвестиционный проект&gt;</w:t>
            </w:r>
          </w:p>
        </w:tc>
        <w:tc>
          <w:tcPr>
            <w:tcW w:w="497" w:type="pct"/>
            <w:vMerge w:val="restart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3" w:type="pct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251FE" w:rsidRPr="008251FE" w:rsidTr="00F83C4A">
        <w:trPr>
          <w:cantSplit/>
          <w:trHeight w:val="292"/>
        </w:trPr>
        <w:tc>
          <w:tcPr>
            <w:tcW w:w="173" w:type="pct"/>
            <w:vMerge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70" w:type="pct"/>
            <w:vMerge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vMerge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251FE" w:rsidRPr="008251FE" w:rsidTr="00F83C4A">
        <w:trPr>
          <w:cantSplit/>
          <w:trHeight w:val="292"/>
        </w:trPr>
        <w:tc>
          <w:tcPr>
            <w:tcW w:w="173" w:type="pct"/>
            <w:vMerge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70" w:type="pct"/>
            <w:vMerge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vMerge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251FE" w:rsidRPr="008251FE" w:rsidTr="00F83C4A">
        <w:trPr>
          <w:cantSplit/>
          <w:trHeight w:val="292"/>
        </w:trPr>
        <w:tc>
          <w:tcPr>
            <w:tcW w:w="173" w:type="pct"/>
            <w:vMerge w:val="restar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251FE">
              <w:rPr>
                <w:rFonts w:ascii="Times New Roman" w:hAnsi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870" w:type="pct"/>
            <w:vMerge w:val="restar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251FE">
              <w:rPr>
                <w:rFonts w:ascii="Times New Roman" w:hAnsi="Times New Roman"/>
                <w:color w:val="000000"/>
                <w:sz w:val="18"/>
                <w:szCs w:val="18"/>
              </w:rPr>
              <w:t>&lt;Инвестиционный объект&gt;</w:t>
            </w:r>
          </w:p>
        </w:tc>
        <w:tc>
          <w:tcPr>
            <w:tcW w:w="497" w:type="pct"/>
            <w:vMerge w:val="restart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251FE" w:rsidRPr="008251FE" w:rsidTr="00F83C4A">
        <w:trPr>
          <w:cantSplit/>
          <w:trHeight w:val="292"/>
        </w:trPr>
        <w:tc>
          <w:tcPr>
            <w:tcW w:w="173" w:type="pct"/>
            <w:vMerge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70" w:type="pct"/>
            <w:vMerge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vMerge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251FE" w:rsidRPr="008251FE" w:rsidTr="00F83C4A">
        <w:trPr>
          <w:cantSplit/>
          <w:trHeight w:val="292"/>
        </w:trPr>
        <w:tc>
          <w:tcPr>
            <w:tcW w:w="173" w:type="pct"/>
            <w:vMerge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70" w:type="pct"/>
            <w:vMerge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vMerge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8251FE" w:rsidRPr="008251FE" w:rsidRDefault="008251FE" w:rsidP="008251FE">
      <w:pPr>
        <w:rPr>
          <w:rFonts w:ascii="Times New Roman" w:hAnsi="Times New Roman"/>
          <w:sz w:val="24"/>
          <w:szCs w:val="24"/>
        </w:rPr>
      </w:pPr>
    </w:p>
    <w:p w:rsidR="008251FE" w:rsidRPr="008251FE" w:rsidRDefault="008251FE" w:rsidP="008251FE">
      <w:pPr>
        <w:rPr>
          <w:rFonts w:ascii="Times New Roman" w:hAnsi="Times New Roman"/>
          <w:sz w:val="24"/>
          <w:szCs w:val="24"/>
        </w:rPr>
      </w:pPr>
    </w:p>
    <w:p w:rsidR="008251FE" w:rsidRPr="008251FE" w:rsidRDefault="008251FE" w:rsidP="008251FE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500"/>
        <w:gridCol w:w="2546"/>
        <w:gridCol w:w="1982"/>
        <w:gridCol w:w="1823"/>
        <w:gridCol w:w="1364"/>
        <w:gridCol w:w="2083"/>
        <w:gridCol w:w="1829"/>
        <w:gridCol w:w="2659"/>
      </w:tblGrid>
      <w:tr w:rsidR="008251FE" w:rsidRPr="008251FE" w:rsidTr="00F83C4A">
        <w:trPr>
          <w:trHeight w:val="1796"/>
        </w:trPr>
        <w:tc>
          <w:tcPr>
            <w:tcW w:w="170" w:type="pct"/>
            <w:shd w:val="clear" w:color="auto" w:fill="auto"/>
            <w:vAlign w:val="center"/>
            <w:hideMark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1F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№ </w:t>
            </w:r>
          </w:p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251FE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8251FE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8251FE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62" w:type="pct"/>
            <w:shd w:val="clear" w:color="auto" w:fill="auto"/>
            <w:vAlign w:val="center"/>
            <w:hideMark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1FE">
              <w:rPr>
                <w:rFonts w:ascii="Times New Roman" w:hAnsi="Times New Roman"/>
                <w:sz w:val="18"/>
                <w:szCs w:val="18"/>
              </w:rPr>
              <w:t>Наименование инвестиционного проекта / инвестиционного объекта, вид производимых работ (строительство / реконструкция и др.), ОКВЭД, место расположения</w:t>
            </w:r>
          </w:p>
        </w:tc>
        <w:tc>
          <w:tcPr>
            <w:tcW w:w="671" w:type="pct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1FE">
              <w:rPr>
                <w:rFonts w:ascii="Times New Roman" w:hAnsi="Times New Roman"/>
                <w:sz w:val="18"/>
                <w:szCs w:val="18"/>
              </w:rPr>
              <w:t xml:space="preserve">Основание для включения в реестр (наименование, реквизиты документа), дата включения в реестр / исключения из реестра </w:t>
            </w:r>
          </w:p>
        </w:tc>
        <w:tc>
          <w:tcPr>
            <w:tcW w:w="617" w:type="pct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1FE">
              <w:rPr>
                <w:rFonts w:ascii="Times New Roman" w:hAnsi="Times New Roman"/>
                <w:sz w:val="18"/>
                <w:szCs w:val="18"/>
              </w:rPr>
              <w:t>Статус инвестиционного проекта (стратегический / приоритетный) / форма и сроки муниципальной поддержки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1FE">
              <w:rPr>
                <w:rFonts w:ascii="Times New Roman" w:hAnsi="Times New Roman"/>
                <w:sz w:val="18"/>
                <w:szCs w:val="18"/>
              </w:rPr>
              <w:t>Объем запланированных работ по проекту</w:t>
            </w:r>
          </w:p>
        </w:tc>
        <w:tc>
          <w:tcPr>
            <w:tcW w:w="705" w:type="pct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1FE">
              <w:rPr>
                <w:rFonts w:ascii="Times New Roman" w:hAnsi="Times New Roman"/>
                <w:sz w:val="18"/>
                <w:szCs w:val="18"/>
              </w:rPr>
              <w:t>Стадия реализации проекта / степень готовности объекта (этап исполнения)</w:t>
            </w:r>
          </w:p>
        </w:tc>
        <w:tc>
          <w:tcPr>
            <w:tcW w:w="619" w:type="pct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1FE">
              <w:rPr>
                <w:rFonts w:ascii="Times New Roman" w:hAnsi="Times New Roman"/>
                <w:sz w:val="18"/>
                <w:szCs w:val="18"/>
              </w:rPr>
              <w:t xml:space="preserve">Ответственный сотрудник (ФИО, должность полностью, контактный телефон, адрес </w:t>
            </w:r>
            <w:proofErr w:type="spellStart"/>
            <w:r w:rsidRPr="008251FE">
              <w:rPr>
                <w:rFonts w:ascii="Times New Roman" w:hAnsi="Times New Roman"/>
                <w:sz w:val="18"/>
                <w:szCs w:val="18"/>
              </w:rPr>
              <w:t>эл</w:t>
            </w:r>
            <w:proofErr w:type="spellEnd"/>
            <w:r w:rsidRPr="008251FE">
              <w:rPr>
                <w:rFonts w:ascii="Times New Roman" w:hAnsi="Times New Roman"/>
                <w:sz w:val="18"/>
                <w:szCs w:val="18"/>
              </w:rPr>
              <w:t>. почты)</w:t>
            </w:r>
          </w:p>
        </w:tc>
        <w:tc>
          <w:tcPr>
            <w:tcW w:w="900" w:type="pct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1FE">
              <w:rPr>
                <w:rFonts w:ascii="Times New Roman" w:hAnsi="Times New Roman"/>
                <w:sz w:val="18"/>
                <w:szCs w:val="18"/>
              </w:rPr>
              <w:t xml:space="preserve">Примечание (координаты проекта (широта, долгота) / кадастровый номер земельного участка, на котором реализуется проект / др.) </w:t>
            </w:r>
          </w:p>
        </w:tc>
      </w:tr>
      <w:tr w:rsidR="008251FE" w:rsidRPr="008251FE" w:rsidTr="00F83C4A">
        <w:trPr>
          <w:cantSplit/>
          <w:trHeight w:val="292"/>
        </w:trPr>
        <w:tc>
          <w:tcPr>
            <w:tcW w:w="170" w:type="pc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251FE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251FE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1" w:type="pct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1F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17" w:type="pct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1FE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251FE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5" w:type="pct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251FE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19" w:type="pct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251FE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00" w:type="pct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251FE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</w:tr>
      <w:tr w:rsidR="008251FE" w:rsidRPr="008251FE" w:rsidTr="00F83C4A">
        <w:trPr>
          <w:cantSplit/>
          <w:trHeight w:val="696"/>
        </w:trPr>
        <w:tc>
          <w:tcPr>
            <w:tcW w:w="170" w:type="pc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251FE">
              <w:rPr>
                <w:rFonts w:ascii="Times New Roman" w:hAnsi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251FE">
              <w:rPr>
                <w:rFonts w:ascii="Times New Roman" w:hAnsi="Times New Roman"/>
                <w:color w:val="000000"/>
                <w:sz w:val="18"/>
                <w:szCs w:val="18"/>
              </w:rPr>
              <w:t>&lt;Инвестиционный проект&gt;</w:t>
            </w:r>
          </w:p>
        </w:tc>
        <w:tc>
          <w:tcPr>
            <w:tcW w:w="671" w:type="pct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7" w:type="pct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5" w:type="pct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pct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251FE" w:rsidRPr="008251FE" w:rsidTr="00F83C4A">
        <w:trPr>
          <w:cantSplit/>
          <w:trHeight w:val="550"/>
        </w:trPr>
        <w:tc>
          <w:tcPr>
            <w:tcW w:w="170" w:type="pc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251FE">
              <w:rPr>
                <w:rFonts w:ascii="Times New Roman" w:hAnsi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8251F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&lt;</w:t>
            </w:r>
            <w:r w:rsidRPr="008251FE">
              <w:rPr>
                <w:rFonts w:ascii="Times New Roman" w:hAnsi="Times New Roman"/>
                <w:color w:val="000000"/>
                <w:sz w:val="18"/>
                <w:szCs w:val="18"/>
              </w:rPr>
              <w:t>Инвестиционный объект</w:t>
            </w:r>
            <w:r w:rsidRPr="008251F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&gt;</w:t>
            </w:r>
          </w:p>
        </w:tc>
        <w:tc>
          <w:tcPr>
            <w:tcW w:w="671" w:type="pct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7" w:type="pct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5" w:type="pct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pct"/>
            <w:vAlign w:val="center"/>
          </w:tcPr>
          <w:p w:rsidR="008251FE" w:rsidRPr="008251FE" w:rsidRDefault="008251FE" w:rsidP="008251FE">
            <w:pPr>
              <w:ind w:left="-103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8251FE" w:rsidRPr="008251FE" w:rsidRDefault="008251FE" w:rsidP="008251FE">
      <w:pPr>
        <w:rPr>
          <w:rFonts w:ascii="Times New Roman" w:hAnsi="Times New Roman"/>
          <w:color w:val="000000"/>
          <w:sz w:val="12"/>
          <w:szCs w:val="24"/>
        </w:rPr>
      </w:pPr>
    </w:p>
    <w:p w:rsidR="008251FE" w:rsidRPr="008251FE" w:rsidRDefault="008251FE" w:rsidP="008251FE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8251FE">
        <w:rPr>
          <w:rFonts w:ascii="Times New Roman" w:hAnsi="Times New Roman"/>
          <w:color w:val="000000"/>
          <w:sz w:val="24"/>
          <w:szCs w:val="24"/>
        </w:rPr>
        <w:t xml:space="preserve">Пояснения к графам: </w:t>
      </w:r>
    </w:p>
    <w:p w:rsidR="008251FE" w:rsidRPr="008251FE" w:rsidRDefault="008251FE" w:rsidP="008251FE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8251FE">
        <w:rPr>
          <w:rFonts w:ascii="Times New Roman" w:hAnsi="Times New Roman"/>
          <w:color w:val="000000"/>
          <w:sz w:val="24"/>
          <w:szCs w:val="24"/>
        </w:rPr>
        <w:t>2 – наименование инвестиционного проекта, входящих в него инвестиционных объектов, включая вид производимых работ (строительство/реконструкция/др.);</w:t>
      </w:r>
    </w:p>
    <w:p w:rsidR="008251FE" w:rsidRPr="008251FE" w:rsidRDefault="008251FE" w:rsidP="008251FE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8251FE">
        <w:rPr>
          <w:rFonts w:ascii="Times New Roman" w:hAnsi="Times New Roman"/>
          <w:color w:val="000000"/>
          <w:sz w:val="24"/>
          <w:szCs w:val="24"/>
        </w:rPr>
        <w:t>6 – период реализации инвестиционного проекта, строительства, реконструкции инвестиционного объекта, объекта инфраструктуры всего и в разрезе годовых периодов;</w:t>
      </w:r>
    </w:p>
    <w:p w:rsidR="008251FE" w:rsidRPr="008251FE" w:rsidRDefault="008251FE" w:rsidP="008251FE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8251FE">
        <w:rPr>
          <w:rFonts w:ascii="Times New Roman" w:hAnsi="Times New Roman"/>
          <w:color w:val="000000"/>
          <w:sz w:val="24"/>
          <w:szCs w:val="24"/>
        </w:rPr>
        <w:t>7 – полная стоимость реализации инвестиционного проекта, строительства, реконструкции инвестиционного объекта, объекта инфраструктуры без стоимости разработки проектно-сметной документации, равна сумме данных граф 8 и 9;</w:t>
      </w:r>
    </w:p>
    <w:p w:rsidR="008251FE" w:rsidRPr="008251FE" w:rsidRDefault="008251FE" w:rsidP="008251FE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8251FE">
        <w:rPr>
          <w:rFonts w:ascii="Times New Roman" w:hAnsi="Times New Roman"/>
          <w:color w:val="000000"/>
          <w:sz w:val="24"/>
          <w:szCs w:val="24"/>
        </w:rPr>
        <w:t>8 – часть средств, недостаточных для завершения строительства/реконструкции объекта инфраструктуры;</w:t>
      </w:r>
    </w:p>
    <w:p w:rsidR="008251FE" w:rsidRPr="008251FE" w:rsidRDefault="008251FE" w:rsidP="008251FE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8251FE">
        <w:rPr>
          <w:rFonts w:ascii="Times New Roman" w:hAnsi="Times New Roman"/>
          <w:color w:val="000000"/>
          <w:sz w:val="24"/>
          <w:szCs w:val="24"/>
        </w:rPr>
        <w:t>9 – часть средств, заложенных в действующие государственные/муниципальные программы, программы и планы хозяйствующих субъектов;</w:t>
      </w:r>
    </w:p>
    <w:p w:rsidR="008251FE" w:rsidRPr="008251FE" w:rsidRDefault="008251FE" w:rsidP="008251FE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8251FE">
        <w:rPr>
          <w:rFonts w:ascii="Times New Roman" w:hAnsi="Times New Roman"/>
          <w:color w:val="000000"/>
          <w:sz w:val="24"/>
          <w:szCs w:val="24"/>
        </w:rPr>
        <w:t>10 –  федеральный бюджет;</w:t>
      </w:r>
    </w:p>
    <w:p w:rsidR="008251FE" w:rsidRPr="008251FE" w:rsidRDefault="008251FE" w:rsidP="008251FE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8251FE">
        <w:rPr>
          <w:rFonts w:ascii="Times New Roman" w:hAnsi="Times New Roman"/>
          <w:color w:val="000000"/>
          <w:sz w:val="24"/>
          <w:szCs w:val="24"/>
        </w:rPr>
        <w:t>11 – областной бюджет;</w:t>
      </w:r>
    </w:p>
    <w:p w:rsidR="008251FE" w:rsidRPr="008251FE" w:rsidRDefault="008251FE" w:rsidP="008251FE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8251FE">
        <w:rPr>
          <w:rFonts w:ascii="Times New Roman" w:hAnsi="Times New Roman"/>
          <w:color w:val="000000"/>
          <w:sz w:val="24"/>
          <w:szCs w:val="24"/>
        </w:rPr>
        <w:t>12 – бюджет муниципального образования город Мурманск;</w:t>
      </w:r>
    </w:p>
    <w:p w:rsidR="008251FE" w:rsidRPr="008251FE" w:rsidRDefault="008251FE" w:rsidP="008251FE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8251FE">
        <w:rPr>
          <w:rFonts w:ascii="Times New Roman" w:hAnsi="Times New Roman"/>
          <w:color w:val="000000"/>
          <w:sz w:val="24"/>
          <w:szCs w:val="24"/>
        </w:rPr>
        <w:t>13 – внебюджетные средства;</w:t>
      </w:r>
    </w:p>
    <w:p w:rsidR="008251FE" w:rsidRPr="008251FE" w:rsidRDefault="008251FE" w:rsidP="008251FE">
      <w:pPr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251FE">
        <w:rPr>
          <w:rFonts w:ascii="Times New Roman" w:hAnsi="Times New Roman"/>
          <w:color w:val="000000"/>
          <w:sz w:val="24"/>
          <w:szCs w:val="24"/>
        </w:rPr>
        <w:t>16 – стратегический/приоритетный инвестиционный проект, реквизиты документа о присвоении статуса, ссылка на действующие государственные/муниципальные программы, программы и планы хозяйствующих субъектов, в рамках которых создаются объекты, соглашения о муниципальной поддержке инвестиционной деятельности на территории муниципального образования город Мурманск, информация о дате включения в реестр, а также о дате и основаниях для исключения проекта из реестра;</w:t>
      </w:r>
      <w:proofErr w:type="gramEnd"/>
    </w:p>
    <w:p w:rsidR="008251FE" w:rsidRPr="008251FE" w:rsidRDefault="008251FE" w:rsidP="008251FE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8251FE">
        <w:rPr>
          <w:rFonts w:ascii="Times New Roman" w:hAnsi="Times New Roman"/>
          <w:color w:val="000000"/>
          <w:sz w:val="24"/>
          <w:szCs w:val="24"/>
        </w:rPr>
        <w:t>18 – этап исполнения работ по строительству/реконструкции объекта инфраструктуры на дату предоставления информации;</w:t>
      </w:r>
    </w:p>
    <w:p w:rsidR="008251FE" w:rsidRPr="008251FE" w:rsidRDefault="008251FE" w:rsidP="008251FE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20</w:t>
      </w:r>
      <w:r w:rsidRPr="008251FE">
        <w:rPr>
          <w:rFonts w:ascii="Times New Roman" w:hAnsi="Times New Roman"/>
          <w:color w:val="000000"/>
          <w:sz w:val="24"/>
          <w:szCs w:val="24"/>
        </w:rPr>
        <w:t xml:space="preserve"> – координаты проекта (широта, долгота), кадастровый номер земельного участка, на котором реализуется проект, объект </w:t>
      </w:r>
      <w:proofErr w:type="gramStart"/>
      <w:r w:rsidRPr="008251FE">
        <w:rPr>
          <w:rFonts w:ascii="Times New Roman" w:hAnsi="Times New Roman"/>
          <w:color w:val="000000"/>
          <w:sz w:val="24"/>
          <w:szCs w:val="24"/>
        </w:rPr>
        <w:t>является</w:t>
      </w:r>
      <w:proofErr w:type="gramEnd"/>
      <w:r w:rsidRPr="008251FE">
        <w:rPr>
          <w:rFonts w:ascii="Times New Roman" w:hAnsi="Times New Roman"/>
          <w:color w:val="000000"/>
          <w:sz w:val="24"/>
          <w:szCs w:val="24"/>
        </w:rPr>
        <w:t>/не является инфраструктурным и др.</w:t>
      </w:r>
    </w:p>
    <w:p w:rsidR="008251FE" w:rsidRPr="008251FE" w:rsidRDefault="008251FE" w:rsidP="008251FE">
      <w:pPr>
        <w:jc w:val="both"/>
        <w:rPr>
          <w:rFonts w:ascii="Times New Roman" w:hAnsi="Times New Roman"/>
          <w:color w:val="FFFFFF"/>
          <w:sz w:val="24"/>
          <w:szCs w:val="24"/>
        </w:rPr>
      </w:pPr>
    </w:p>
    <w:p w:rsidR="002E62E5" w:rsidRDefault="008251FE" w:rsidP="00E02634">
      <w:pPr>
        <w:jc w:val="center"/>
        <w:rPr>
          <w:rFonts w:ascii="Times New Roman" w:hAnsi="Times New Roman"/>
          <w:bCs/>
          <w:szCs w:val="28"/>
        </w:rPr>
      </w:pPr>
      <w:r w:rsidRPr="008251FE">
        <w:rPr>
          <w:rFonts w:ascii="Times New Roman" w:hAnsi="Times New Roman"/>
          <w:szCs w:val="28"/>
        </w:rPr>
        <w:t>_________________________</w:t>
      </w:r>
    </w:p>
    <w:sectPr w:rsidR="002E62E5" w:rsidSect="008251FE">
      <w:headerReference w:type="default" r:id="rId11"/>
      <w:headerReference w:type="first" r:id="rId12"/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352" w:rsidRDefault="001E4352" w:rsidP="007560FC">
      <w:r>
        <w:separator/>
      </w:r>
    </w:p>
  </w:endnote>
  <w:endnote w:type="continuationSeparator" w:id="0">
    <w:p w:rsidR="001E4352" w:rsidRDefault="001E4352" w:rsidP="007560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352" w:rsidRDefault="001E4352" w:rsidP="007560FC">
      <w:r>
        <w:separator/>
      </w:r>
    </w:p>
  </w:footnote>
  <w:footnote w:type="continuationSeparator" w:id="0">
    <w:p w:rsidR="001E4352" w:rsidRDefault="001E4352" w:rsidP="007560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352" w:rsidRPr="00A40D42" w:rsidRDefault="000F7B6B">
    <w:pPr>
      <w:pStyle w:val="a3"/>
      <w:jc w:val="center"/>
      <w:rPr>
        <w:rFonts w:ascii="Times New Roman" w:hAnsi="Times New Roman"/>
      </w:rPr>
    </w:pPr>
    <w:r w:rsidRPr="00A40D42">
      <w:rPr>
        <w:rFonts w:ascii="Times New Roman" w:hAnsi="Times New Roman"/>
      </w:rPr>
      <w:fldChar w:fldCharType="begin"/>
    </w:r>
    <w:r w:rsidR="001E4352" w:rsidRPr="00A40D42">
      <w:rPr>
        <w:rFonts w:ascii="Times New Roman" w:hAnsi="Times New Roman"/>
      </w:rPr>
      <w:instrText>PAGE   \* MERGEFORMAT</w:instrText>
    </w:r>
    <w:r w:rsidRPr="00A40D42">
      <w:rPr>
        <w:rFonts w:ascii="Times New Roman" w:hAnsi="Times New Roman"/>
      </w:rPr>
      <w:fldChar w:fldCharType="separate"/>
    </w:r>
    <w:r w:rsidR="00F33B9B">
      <w:rPr>
        <w:rFonts w:ascii="Times New Roman" w:hAnsi="Times New Roman"/>
        <w:noProof/>
      </w:rPr>
      <w:t>2</w:t>
    </w:r>
    <w:r w:rsidRPr="00A40D42">
      <w:rPr>
        <w:rFonts w:ascii="Times New Roman" w:hAnsi="Times New Roman"/>
      </w:rPr>
      <w:fldChar w:fldCharType="end"/>
    </w:r>
  </w:p>
  <w:p w:rsidR="001E4352" w:rsidRPr="00DF5B8B" w:rsidRDefault="001E4352" w:rsidP="00A64E5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80272"/>
      <w:docPartObj>
        <w:docPartGallery w:val="Page Numbers (Top of Page)"/>
        <w:docPartUnique/>
      </w:docPartObj>
    </w:sdtPr>
    <w:sdtContent>
      <w:p w:rsidR="001E4352" w:rsidRDefault="000F7B6B">
        <w:pPr>
          <w:pStyle w:val="a3"/>
          <w:jc w:val="center"/>
        </w:pPr>
        <w:fldSimple w:instr=" PAGE   \* MERGEFORMAT ">
          <w:r w:rsidR="00F33B9B">
            <w:rPr>
              <w:noProof/>
            </w:rPr>
            <w:t>1</w:t>
          </w:r>
        </w:fldSimple>
      </w:p>
    </w:sdtContent>
  </w:sdt>
  <w:p w:rsidR="001E4352" w:rsidRDefault="001E435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269946"/>
      <w:docPartObj>
        <w:docPartGallery w:val="Page Numbers (Top of Page)"/>
        <w:docPartUnique/>
      </w:docPartObj>
    </w:sdtPr>
    <w:sdtContent>
      <w:p w:rsidR="001E4352" w:rsidRDefault="000F7B6B">
        <w:pPr>
          <w:pStyle w:val="a3"/>
          <w:jc w:val="center"/>
        </w:pPr>
        <w:fldSimple w:instr=" PAGE   \* MERGEFORMAT ">
          <w:r w:rsidR="00F33B9B">
            <w:rPr>
              <w:noProof/>
            </w:rPr>
            <w:t>2</w:t>
          </w:r>
        </w:fldSimple>
      </w:p>
    </w:sdtContent>
  </w:sdt>
  <w:p w:rsidR="001E4352" w:rsidRDefault="001E4352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352" w:rsidRDefault="001E435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53BBA"/>
    <w:multiLevelType w:val="hybridMultilevel"/>
    <w:tmpl w:val="C84EFA38"/>
    <w:lvl w:ilvl="0" w:tplc="0419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0E32AE"/>
    <w:multiLevelType w:val="hybridMultilevel"/>
    <w:tmpl w:val="1B32BF90"/>
    <w:lvl w:ilvl="0" w:tplc="95B47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733B"/>
    <w:rsid w:val="00082097"/>
    <w:rsid w:val="000F7B6B"/>
    <w:rsid w:val="001B2345"/>
    <w:rsid w:val="001E4352"/>
    <w:rsid w:val="002E62E5"/>
    <w:rsid w:val="005B1FA0"/>
    <w:rsid w:val="006D271E"/>
    <w:rsid w:val="007560FC"/>
    <w:rsid w:val="008251FE"/>
    <w:rsid w:val="00861CDA"/>
    <w:rsid w:val="008B0A8E"/>
    <w:rsid w:val="008C2AB7"/>
    <w:rsid w:val="008F733B"/>
    <w:rsid w:val="00956307"/>
    <w:rsid w:val="00970BA0"/>
    <w:rsid w:val="00A3535B"/>
    <w:rsid w:val="00A64E58"/>
    <w:rsid w:val="00A668FE"/>
    <w:rsid w:val="00B64A68"/>
    <w:rsid w:val="00C12CE3"/>
    <w:rsid w:val="00E02634"/>
    <w:rsid w:val="00E24096"/>
    <w:rsid w:val="00E448E8"/>
    <w:rsid w:val="00E84C24"/>
    <w:rsid w:val="00F33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3B"/>
    <w:pPr>
      <w:spacing w:after="0" w:line="240" w:lineRule="auto"/>
    </w:pPr>
    <w:rPr>
      <w:rFonts w:eastAsia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33B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8F733B"/>
    <w:rPr>
      <w:rFonts w:eastAsia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F733B"/>
    <w:pPr>
      <w:tabs>
        <w:tab w:val="center" w:pos="4677"/>
        <w:tab w:val="right" w:pos="9355"/>
      </w:tabs>
    </w:pPr>
    <w:rPr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8F733B"/>
    <w:rPr>
      <w:rFonts w:eastAsia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73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733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8251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3B"/>
    <w:pPr>
      <w:spacing w:after="0" w:line="240" w:lineRule="auto"/>
    </w:pPr>
    <w:rPr>
      <w:rFonts w:eastAsia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33B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8F733B"/>
    <w:rPr>
      <w:rFonts w:eastAsia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F733B"/>
    <w:pPr>
      <w:tabs>
        <w:tab w:val="center" w:pos="4677"/>
        <w:tab w:val="right" w:pos="9355"/>
      </w:tabs>
    </w:pPr>
    <w:rPr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8F733B"/>
    <w:rPr>
      <w:rFonts w:eastAsia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73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73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BCC20D2E8D245D0B1BCED0F315CC3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A38C05-DD4D-4F51-848A-17248822A776}"/>
      </w:docPartPr>
      <w:docPartBody>
        <w:p w:rsidR="00D25B7B" w:rsidRDefault="00D25B7B" w:rsidP="00D25B7B">
          <w:pPr>
            <w:pStyle w:val="3BCC20D2E8D245D0B1BCED0F315CC36B"/>
          </w:pPr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E597C45A954821BB8E3BAA8F290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794351-DF55-4E04-A185-31F061005D33}"/>
      </w:docPartPr>
      <w:docPartBody>
        <w:p w:rsidR="008F493B" w:rsidRDefault="00DD0079" w:rsidP="00DD0079">
          <w:pPr>
            <w:pStyle w:val="CDE597C45A954821BB8E3BAA8F2902DB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A28EC"/>
    <w:rsid w:val="001A28EC"/>
    <w:rsid w:val="00476CE1"/>
    <w:rsid w:val="008F493B"/>
    <w:rsid w:val="00A10928"/>
    <w:rsid w:val="00C51BB8"/>
    <w:rsid w:val="00D25B7B"/>
    <w:rsid w:val="00DD0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D0079"/>
    <w:rPr>
      <w:color w:val="808080"/>
    </w:rPr>
  </w:style>
  <w:style w:type="paragraph" w:customStyle="1" w:styleId="DB9787DEF9F14F7B997CB3D01CFFB032">
    <w:name w:val="DB9787DEF9F14F7B997CB3D01CFFB032"/>
    <w:rsid w:val="001A28EC"/>
  </w:style>
  <w:style w:type="paragraph" w:customStyle="1" w:styleId="79E446F30F0448DF953089005C84C829">
    <w:name w:val="79E446F30F0448DF953089005C84C829"/>
    <w:rsid w:val="001A28EC"/>
  </w:style>
  <w:style w:type="paragraph" w:customStyle="1" w:styleId="ACDE6A63A0E2484793F9F1D268C21FE4">
    <w:name w:val="ACDE6A63A0E2484793F9F1D268C21FE4"/>
    <w:rsid w:val="00D25B7B"/>
  </w:style>
  <w:style w:type="paragraph" w:customStyle="1" w:styleId="3BCC20D2E8D245D0B1BCED0F315CC36B">
    <w:name w:val="3BCC20D2E8D245D0B1BCED0F315CC36B"/>
    <w:rsid w:val="00D25B7B"/>
  </w:style>
  <w:style w:type="paragraph" w:customStyle="1" w:styleId="3D363B54262B4D83A601917205BECFAE">
    <w:name w:val="3D363B54262B4D83A601917205BECFAE"/>
    <w:rsid w:val="00DD0079"/>
  </w:style>
  <w:style w:type="paragraph" w:customStyle="1" w:styleId="8EB523F890BC42E6B4EE6601C3F62C23">
    <w:name w:val="8EB523F890BC42E6B4EE6601C3F62C23"/>
    <w:rsid w:val="00DD0079"/>
  </w:style>
  <w:style w:type="paragraph" w:customStyle="1" w:styleId="CDE597C45A954821BB8E3BAA8F2902DB">
    <w:name w:val="CDE597C45A954821BB8E3BAA8F2902DB"/>
    <w:rsid w:val="00DD007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FC99C-D80C-47DE-A95C-419AE60D7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Медведева</dc:creator>
  <cp:lastModifiedBy>KondrashovaMV</cp:lastModifiedBy>
  <cp:revision>8</cp:revision>
  <cp:lastPrinted>2020-02-12T11:43:00Z</cp:lastPrinted>
  <dcterms:created xsi:type="dcterms:W3CDTF">2020-02-10T11:39:00Z</dcterms:created>
  <dcterms:modified xsi:type="dcterms:W3CDTF">2020-02-13T13:41:00Z</dcterms:modified>
</cp:coreProperties>
</file>