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9B" w:rsidRDefault="00C91B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1B9B" w:rsidRDefault="00C91B9B">
      <w:pPr>
        <w:pStyle w:val="ConsPlusNormal"/>
        <w:jc w:val="both"/>
        <w:outlineLvl w:val="0"/>
      </w:pPr>
    </w:p>
    <w:p w:rsidR="00C91B9B" w:rsidRDefault="00C91B9B">
      <w:pPr>
        <w:pStyle w:val="ConsPlusTitle"/>
        <w:jc w:val="center"/>
        <w:outlineLvl w:val="0"/>
      </w:pPr>
      <w:r>
        <w:t>СОВЕТ ДЕПУТАТОВ ГОРОДА МУРМАНСКА</w:t>
      </w:r>
    </w:p>
    <w:p w:rsidR="00C91B9B" w:rsidRDefault="00C91B9B">
      <w:pPr>
        <w:pStyle w:val="ConsPlusTitle"/>
        <w:jc w:val="center"/>
      </w:pPr>
      <w:r>
        <w:t>XLIV ЗАСЕДАНИЕ ТРЕТЬЕГО СОЗЫВА 29 НОЯБРЯ 2007 ГОДА</w:t>
      </w:r>
    </w:p>
    <w:p w:rsidR="00C91B9B" w:rsidRDefault="00C91B9B">
      <w:pPr>
        <w:pStyle w:val="ConsPlusTitle"/>
        <w:jc w:val="center"/>
      </w:pPr>
    </w:p>
    <w:p w:rsidR="00C91B9B" w:rsidRDefault="00C91B9B">
      <w:pPr>
        <w:pStyle w:val="ConsPlusTitle"/>
        <w:jc w:val="center"/>
      </w:pPr>
      <w:r>
        <w:t>РЕШЕНИЕ</w:t>
      </w:r>
    </w:p>
    <w:p w:rsidR="00C91B9B" w:rsidRDefault="00C91B9B">
      <w:pPr>
        <w:pStyle w:val="ConsPlusTitle"/>
        <w:jc w:val="center"/>
      </w:pPr>
      <w:r>
        <w:t>от 4 декабря 2007 г. N 44-540</w:t>
      </w:r>
    </w:p>
    <w:p w:rsidR="00C91B9B" w:rsidRDefault="00C91B9B">
      <w:pPr>
        <w:pStyle w:val="ConsPlusTitle"/>
        <w:jc w:val="center"/>
      </w:pPr>
    </w:p>
    <w:p w:rsidR="00C91B9B" w:rsidRDefault="00C91B9B">
      <w:pPr>
        <w:pStyle w:val="ConsPlusTitle"/>
        <w:jc w:val="center"/>
      </w:pPr>
      <w:r>
        <w:t>ОБ УТВЕРЖДЕНИИ ПОРЯДКА ПРЕДОСТАВЛЕНИЯ МУНИЦИПАЛЬНЫХ ГАРАНТИЙ</w:t>
      </w:r>
    </w:p>
    <w:p w:rsidR="00C91B9B" w:rsidRDefault="00C91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91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B9B" w:rsidRDefault="00C91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B9B" w:rsidRDefault="00C91B9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C91B9B" w:rsidRDefault="00C91B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5" w:history="1">
              <w:r>
                <w:rPr>
                  <w:color w:val="0000FF"/>
                </w:rPr>
                <w:t>N 58-724</w:t>
              </w:r>
            </w:hyperlink>
            <w:r>
              <w:rPr>
                <w:color w:val="392C69"/>
              </w:rPr>
              <w:t xml:space="preserve">, от 01.04.2011 </w:t>
            </w:r>
            <w:hyperlink r:id="rId6" w:history="1">
              <w:r>
                <w:rPr>
                  <w:color w:val="0000FF"/>
                </w:rPr>
                <w:t>N 35-435</w:t>
              </w:r>
            </w:hyperlink>
            <w:r>
              <w:rPr>
                <w:color w:val="392C69"/>
              </w:rPr>
              <w:t xml:space="preserve">, от 25.06.2015 </w:t>
            </w:r>
            <w:hyperlink r:id="rId7" w:history="1">
              <w:r>
                <w:rPr>
                  <w:color w:val="0000FF"/>
                </w:rPr>
                <w:t>N 14-194</w:t>
              </w:r>
            </w:hyperlink>
            <w:r>
              <w:rPr>
                <w:color w:val="392C69"/>
              </w:rPr>
              <w:t>,</w:t>
            </w:r>
          </w:p>
          <w:p w:rsidR="00C91B9B" w:rsidRDefault="00C91B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8" w:history="1">
              <w:r>
                <w:rPr>
                  <w:color w:val="0000FF"/>
                </w:rPr>
                <w:t>N 22-328</w:t>
              </w:r>
            </w:hyperlink>
            <w:r>
              <w:rPr>
                <w:color w:val="392C69"/>
              </w:rPr>
              <w:t xml:space="preserve">, от 27.04.2018 </w:t>
            </w:r>
            <w:hyperlink r:id="rId9" w:history="1">
              <w:r>
                <w:rPr>
                  <w:color w:val="0000FF"/>
                </w:rPr>
                <w:t>N 46-808</w:t>
              </w:r>
            </w:hyperlink>
            <w:r>
              <w:rPr>
                <w:color w:val="392C69"/>
              </w:rPr>
              <w:t xml:space="preserve">, от 17.04.2019 </w:t>
            </w:r>
            <w:hyperlink r:id="rId10" w:history="1">
              <w:r>
                <w:rPr>
                  <w:color w:val="0000FF"/>
                </w:rPr>
                <w:t>N 56-958</w:t>
              </w:r>
            </w:hyperlink>
            <w:r>
              <w:rPr>
                <w:color w:val="392C69"/>
              </w:rPr>
              <w:t>,</w:t>
            </w:r>
          </w:p>
          <w:p w:rsidR="00C91B9B" w:rsidRDefault="00C91B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11" w:history="1">
              <w:r>
                <w:rPr>
                  <w:color w:val="0000FF"/>
                </w:rPr>
                <w:t>N 6-84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26.05.2008 N 50-618 "Об утверждении "Положения о бюджетном устройстве и бюджетном процессе в муниципальном образовании город Мурманск",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C91B9B" w:rsidRDefault="00C91B9B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27.04.2018 N 46-808)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муниципальных гарантий согласно приложению.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2. Настоящее решение с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опубликовать в газете "Вечерний Мурманск".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2008 года.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постоянную комиссию Совета депутатов города Мурманска по бюджету и финансовому регулированию (Веллер С.Б.).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jc w:val="right"/>
      </w:pPr>
      <w:r>
        <w:t>Глава</w:t>
      </w:r>
    </w:p>
    <w:p w:rsidR="00C91B9B" w:rsidRDefault="00C91B9B">
      <w:pPr>
        <w:pStyle w:val="ConsPlusNormal"/>
        <w:jc w:val="right"/>
      </w:pPr>
      <w:r>
        <w:t>муниципального образования</w:t>
      </w:r>
    </w:p>
    <w:p w:rsidR="00C91B9B" w:rsidRDefault="00C91B9B">
      <w:pPr>
        <w:pStyle w:val="ConsPlusNormal"/>
        <w:jc w:val="right"/>
      </w:pPr>
      <w:r>
        <w:t>город Мурманск</w:t>
      </w:r>
    </w:p>
    <w:p w:rsidR="00C91B9B" w:rsidRDefault="00C91B9B">
      <w:pPr>
        <w:pStyle w:val="ConsPlusNormal"/>
        <w:jc w:val="right"/>
      </w:pPr>
      <w:r>
        <w:t>М.Ю.САВЧЕНКО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jc w:val="right"/>
        <w:outlineLvl w:val="0"/>
      </w:pPr>
      <w:r>
        <w:t>Приложение</w:t>
      </w:r>
    </w:p>
    <w:p w:rsidR="00C91B9B" w:rsidRDefault="00C91B9B">
      <w:pPr>
        <w:pStyle w:val="ConsPlusNormal"/>
        <w:jc w:val="right"/>
      </w:pPr>
      <w:r>
        <w:t>к решению</w:t>
      </w:r>
    </w:p>
    <w:p w:rsidR="00C91B9B" w:rsidRDefault="00C91B9B">
      <w:pPr>
        <w:pStyle w:val="ConsPlusNormal"/>
        <w:jc w:val="right"/>
      </w:pPr>
      <w:r>
        <w:t>Совета депутатов города Мурманска</w:t>
      </w:r>
    </w:p>
    <w:p w:rsidR="00C91B9B" w:rsidRDefault="00C91B9B">
      <w:pPr>
        <w:pStyle w:val="ConsPlusNormal"/>
        <w:jc w:val="right"/>
      </w:pPr>
      <w:r>
        <w:t>от 4 декабря 2007 г. N 44-540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Title"/>
        <w:jc w:val="center"/>
      </w:pPr>
      <w:bookmarkStart w:id="0" w:name="P35"/>
      <w:bookmarkEnd w:id="0"/>
      <w:r>
        <w:t>ПОРЯДОК</w:t>
      </w:r>
    </w:p>
    <w:p w:rsidR="00C91B9B" w:rsidRDefault="00C91B9B">
      <w:pPr>
        <w:pStyle w:val="ConsPlusTitle"/>
        <w:jc w:val="center"/>
      </w:pPr>
      <w:r>
        <w:t>ПРЕДОСТАВЛЕНИЯ МУНИЦИПАЛЬНЫХ ГАРАНТИЙ</w:t>
      </w:r>
    </w:p>
    <w:p w:rsidR="00C91B9B" w:rsidRDefault="00C91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91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B9B" w:rsidRDefault="00C91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B9B" w:rsidRDefault="00C91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C91B9B" w:rsidRDefault="00C91B9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13.12.2019 N 6-84)</w:t>
            </w:r>
          </w:p>
        </w:tc>
      </w:tr>
    </w:tbl>
    <w:p w:rsidR="00C91B9B" w:rsidRDefault="00C91B9B">
      <w:pPr>
        <w:pStyle w:val="ConsPlusNormal"/>
        <w:jc w:val="both"/>
      </w:pPr>
    </w:p>
    <w:p w:rsidR="00C91B9B" w:rsidRDefault="00C91B9B">
      <w:pPr>
        <w:pStyle w:val="ConsPlusTitle"/>
        <w:jc w:val="center"/>
        <w:outlineLvl w:val="1"/>
      </w:pPr>
      <w:r>
        <w:t>1. Общие положения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ind w:firstLine="540"/>
        <w:jc w:val="both"/>
      </w:pPr>
      <w:r>
        <w:t xml:space="preserve">1.1. Настоящий Порядок предоставления муниципальных гарантий разработан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БК РФ) и устанавливает порядок и условия предоставления муниципальных гарантий,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1.2. Муниципальная гарантия (далее - гарантия) - вид долгового обязательства, в силу которого муниципальное образование город Мурманск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бенефициару), по его письменному требованию определенную в обязательстве денежную сумму за счет средств бюджета муниципального образования город Мурманск (далее - бюджет города) 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1.3. Заключение договора о предоставлении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выдача гарантии от имени гаранта осуществляется администрацией города Мурманска.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1.4. Гарантии предоставляются в обеспечение исполнения обязательств юридических лиц, зарегистрированных на территории гаранта или имеющих обособленные подразделения (представительства, филиалы) на его территории, осуществляющих деятельность на территории гаранта и уплачивающих налоги в бюджет города, включенных в программу муниципальных гарантий.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1.5. Гарантии не предоставляются в обеспечение обязательств юридических лиц, находящихся в процессе реорганизации, ликвидации, в отношении которых возбуждено дело о несостоятельности (банкротстве).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Гарантии не предоставляются при наличии ограничений, определенных законодательством Российской Федерации.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1.6. Гарантия предоставляется и исполняется в валюте, в которой выражены обязательства, обеспечиваемые гарантией.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Предоставление гарантий осуществляется в валюте Российской Федерации или в иностранной валюте. Предоставление гарантий в иностранной валюте осуществляется в соответствии с положениями </w:t>
      </w:r>
      <w:hyperlink r:id="rId19" w:history="1">
        <w:r>
          <w:rPr>
            <w:color w:val="0000FF"/>
          </w:rPr>
          <w:t>статьи 104</w:t>
        </w:r>
      </w:hyperlink>
      <w:r>
        <w:t xml:space="preserve"> БК РФ.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1.7. Письменная форма гарантии является обязательной. Несоблюдение письменной формы гарантии влечет ее недействительность.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1.8. В гарантии должны быть указаны: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наименование гаранта и наименование органа, выдавшего гарантию от имени гаранта;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наименование бенефициара;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наименование принципала;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lastRenderedPageBreak/>
        <w:t>-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объем обязательств гаранта по гарантии и предельная сумма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основания выдачи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дата вступления в силу гарантии или событие (условие), с наступлением которого гарантия вступает в силу;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срок действия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определение гарантийного случая, срок и порядок предъявления требования бенефициара об исполнении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основания отзыва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порядок исполнения гарантом обязательств по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основания прекращения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условия основного обязательства, которые не могут быть изменены без предварительного письменного согласия гаранта;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наличие или отсутствие права требования гаранта к принципалу о возмещении денежных средств, уплаченных гарантом бенефициару по гарантии (регрессное требование гаранта к принципалу, регресс);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- иные условия гарантии, а также сведения, определенные </w:t>
      </w:r>
      <w:hyperlink r:id="rId20" w:history="1">
        <w:r>
          <w:rPr>
            <w:color w:val="0000FF"/>
          </w:rPr>
          <w:t>БК</w:t>
        </w:r>
      </w:hyperlink>
      <w:r>
        <w:t xml:space="preserve"> РФ, нормативными правовыми актами гаранта, актами органа, выдающего гарантию от имени гаранта.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1.9. Гарант по гарантии несет субсидиарную ответственность по обеспеченному им обязательству принципала в пределах суммы гарантии.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1.10.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гаранту, муниципального унитарного предприятия, имущество которого находится в собственности гаранта. В случае полной или частичной приватизации принципала такая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постановлением администрации города Мурманска, соответствующее требованиям </w:t>
      </w:r>
      <w:hyperlink r:id="rId21" w:history="1">
        <w:r>
          <w:rPr>
            <w:color w:val="0000FF"/>
          </w:rPr>
          <w:t>статьи 115.3</w:t>
        </w:r>
      </w:hyperlink>
      <w:r>
        <w:t xml:space="preserve"> 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 До предоставления указанного обеспечения исполнение гарантии не допускается.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1.11. Предусмотренное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lastRenderedPageBreak/>
        <w:t>1.12. Вступление в силу гарантии определяется календарной датой или наступлением события (условия), указанного в гарантии. Срок действия гарантии определяется условиями гарантии.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1.13. Предоставление гарантий в обеспечение исполнения обязательств, по которым бенефициарами является неопределенный круг лиц, осуществляется с особенностями, установленными </w:t>
      </w:r>
      <w:hyperlink r:id="rId22" w:history="1">
        <w:r>
          <w:rPr>
            <w:color w:val="0000FF"/>
          </w:rPr>
          <w:t>статьей 115.1</w:t>
        </w:r>
      </w:hyperlink>
      <w:r>
        <w:t xml:space="preserve"> БК РФ.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1.14.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1.15.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гаранта), некоммерческих организаций, крестьянских (фермерских) хозяйств, индивидуальных предпринимателей и физических лиц.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1.16. Кредиты и займы, обеспечиваемые гарантиями, должны быть целевыми.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1.17. В случае установления факта нецелевого использования средств кредита (займа), обеспеченного гарантией, в случае неисполнения или ненадлежащего исполнения обязательств, установленных договором о предоставлении гарантии, принципал и бенефициар несут ответственность, установленную законодательством Российской Федерации, договором о предоставлении гарантии.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Title"/>
        <w:jc w:val="center"/>
        <w:outlineLvl w:val="1"/>
      </w:pPr>
      <w:r>
        <w:t>2. Условия предоставления гарантий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ind w:firstLine="540"/>
        <w:jc w:val="both"/>
      </w:pPr>
      <w:r>
        <w:t>2.1. Предоставление гарантий осуществляется на основании решения Совета депутатов города Мурманска о бюджете города на очередной финансовый год и плановый период, решения о предоставлении гарантии, принятого администрацией города Мурманска, а также договора о предоставлении гарантии при соблюдении следующих условий: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финансовое состояние принципала является удовлетворительным;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- предоставление принципалом, третьим лицом до даты выдачи гарантии соответствующего требованиям </w:t>
      </w:r>
      <w:hyperlink r:id="rId23" w:history="1">
        <w:r>
          <w:rPr>
            <w:color w:val="0000FF"/>
          </w:rPr>
          <w:t>статьи 115.3</w:t>
        </w:r>
      </w:hyperlink>
      <w:r>
        <w:t xml:space="preserve">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отсутствие у принципала, его поручителей (гарантов) просроченной (неурегулированной) задолженности по денежным обязательствам перед гарантом,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2.2. Обеспечение исполнения обязательств принципала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администрацией города Мурманска и принципалом.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lastRenderedPageBreak/>
        <w:t>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(далее - договор об обеспечении обязательств), заключается до выдачи гарантии.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2.3. Способами обеспечения исполнения обязательств принципала по удовлетворению регрессного требования гаранта к принципалу по гарантии могут быть только банковские гарантии, поручительства юридических лиц, государственные (муниципальные) гарантии, залог имущества в размере не менее 100 процентов обязательств по гарантии.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(ликвидности), а также соответствовать требованиям, установленным </w:t>
      </w:r>
      <w:hyperlink r:id="rId24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r:id="rId25" w:history="1">
        <w:r>
          <w:rPr>
            <w:color w:val="0000FF"/>
          </w:rPr>
          <w:t>шестым пункта 3 статьи 93.2</w:t>
        </w:r>
      </w:hyperlink>
      <w:r>
        <w:t xml:space="preserve"> БК РФ. Объем (сумма) обеспечения регрессных требований определяется с учетом финансового состояния принципала.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гарантии в зависимости от степени удовлетворительности финансового состояния принципала устанавливается постановлением администрации города Мурманска.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Title"/>
        <w:jc w:val="center"/>
        <w:outlineLvl w:val="1"/>
      </w:pPr>
      <w:r>
        <w:t>3. Порядок рассмотрения обращений и принятия решений</w:t>
      </w:r>
    </w:p>
    <w:p w:rsidR="00C91B9B" w:rsidRDefault="00C91B9B">
      <w:pPr>
        <w:pStyle w:val="ConsPlusTitle"/>
        <w:jc w:val="center"/>
      </w:pPr>
      <w:r>
        <w:t>о предоставлении гарантий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ind w:firstLine="540"/>
        <w:jc w:val="both"/>
      </w:pPr>
      <w:r>
        <w:t>3.1. Юридическое лицо, претендующее на получение гарантии в обеспечение его обязательств перед бенефициаром (далее - претендент), направляет в адрес администрации города Мурманска полный комплект документов согласно перечню, утвержденному постановлением администрации города Мурманска (далее - перечень).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3.2. Комплект документов, представленный претендентом, рассматривается управлением финансов администрации города Мурманска.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При наличии следующих оснований комплект документов возвращается претенденту в течение 15 дней: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отсутствие гарантии в Программе муниципальных гарантий, утвержденной решением Совета депутатов города Мурманска о бюджете города на соответствующий финансовый год и на плановый период;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представление претендентом комплекта документов не в полном объеме;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нахождение претендента в процессе реорганизации, ликвидации, а также в случае если в отношении претендента возбуждено дело о несостоятельности (банкротстве);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наличие ограничений для предоставления гарантии, определенных законодательством Российской Федерации;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наличие у претендента, его поручителей (гарантов) просроченной (неурегулированной) задолженности по денежным обязательствам перед бюджетом города,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по гарантиям, ранее предоставленным гарантом;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- непредставление претендентом (за исключением случаев, когда гарантия предоставляется без права регрессного требования) соответствующего требованиям </w:t>
      </w:r>
      <w:hyperlink r:id="rId26" w:history="1">
        <w:r>
          <w:rPr>
            <w:color w:val="0000FF"/>
          </w:rPr>
          <w:t>статьи 115.3</w:t>
        </w:r>
      </w:hyperlink>
      <w:r>
        <w:t xml:space="preserve"> БК РФ и </w:t>
      </w:r>
      <w:r>
        <w:lastRenderedPageBreak/>
        <w:t>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неудовлетворительное финансовое состояние претендента, его поручителей (гарантов).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3.3. Анализ финансового состояния принципала, проверка достаточности, надежности и ликвидности обеспечения, предоставляемого при предоставлении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гарантии осуществляются управлением финансов администрации города Мурманска в порядке, определенном постановлением администрации города Мурманска.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3.4. Решение о предоставлении гарантии принимается в 30-дневный срок с даты поступления комплекта документов путем издания постановления администрации города Мурманска, подготовка проекта которого производится управлением финансов администрации города Мурманска при наличии его положительного заключения о возможности предоставления претенденту гарантии.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В постановлении о предоставлении гарантии указываются: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наименование бенефициара;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наименование принципала;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объем обязательств гаранта по гарантии и предельная сумма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срок действия гарантии;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- наличие или отсутствие права требования гаранта к принципалу о возмещении денежных средств, уплаченных гарантом бенефициару по гарантии (регрессное требование гаранта к принципалу, регресс).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Title"/>
        <w:jc w:val="center"/>
        <w:outlineLvl w:val="1"/>
      </w:pPr>
      <w:r>
        <w:t>4. Исполнение обязательств по предоставленным гарантиям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ind w:firstLine="540"/>
        <w:jc w:val="both"/>
      </w:pPr>
      <w:r>
        <w:t>4.1. Исполнение гарантии ведет к возникновению у гаранта права требования в порядке регресса возмещения сумм, уплаченных бенефициару по гарантии, к лицу, предоставившему обеспечение исполнения обязательств принципала.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4.2.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гарантии учитываются в источниках финансирования дефицита бюджета города, а исполнение обязательств по такой гарантии отражается как предоставление бюджетного кредита.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4.3. 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гарантии учитываются в расходах бюджета города.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 xml:space="preserve">4.4. Денежные средства, полученные гарантом в счет возмещения гаранту в порядке </w:t>
      </w:r>
      <w:r>
        <w:lastRenderedPageBreak/>
        <w:t>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Title"/>
        <w:jc w:val="center"/>
        <w:outlineLvl w:val="1"/>
      </w:pPr>
      <w:r>
        <w:t>5. Учет и контроль предоставленных гарантий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ind w:firstLine="540"/>
        <w:jc w:val="both"/>
      </w:pPr>
      <w:r>
        <w:t>5.1. Обязательства, вытекающие из гарантии, включаются в состав муниципального долга.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5.2. Предоставление и исполнение гарантии подлежит отражению в муниципальной долговой книге.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5.3. Управление финансов администрации города Мурманска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гарантиями.</w:t>
      </w:r>
    </w:p>
    <w:p w:rsidR="00C91B9B" w:rsidRDefault="00C91B9B">
      <w:pPr>
        <w:pStyle w:val="ConsPlusNormal"/>
        <w:spacing w:before="220"/>
        <w:ind w:firstLine="540"/>
        <w:jc w:val="both"/>
      </w:pPr>
      <w:r>
        <w:t>5.4. При исполнении (полном или частичном) обязательств перед бенефициаром на соответствующую сумму сокращается муниципальный долг гаранта.</w:t>
      </w: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jc w:val="both"/>
      </w:pPr>
    </w:p>
    <w:p w:rsidR="00C91B9B" w:rsidRDefault="00C91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806" w:rsidRDefault="00B50806"/>
    <w:sectPr w:rsidR="00B50806" w:rsidSect="0079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91B9B"/>
    <w:rsid w:val="00050C5C"/>
    <w:rsid w:val="00B50806"/>
    <w:rsid w:val="00C9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88F2C26935F2B6BC0944E6F4C4480FCD98EFD758AFA4E2E872E093CA2E9B3298B6BF7F2FED32368B2D52BC80DEB326EED44709C599725A5C0D1T6H8M" TargetMode="External"/><Relationship Id="rId13" Type="http://schemas.openxmlformats.org/officeDocument/2006/relationships/hyperlink" Target="consultantplus://offline/ref=C1C88F2C26935F2B6BC08A4379201A85F8D1D0F2748EF41B76D875546BABE3E47CC46AB9B4F6CC226AACD72EC2T5H0M" TargetMode="External"/><Relationship Id="rId18" Type="http://schemas.openxmlformats.org/officeDocument/2006/relationships/hyperlink" Target="consultantplus://offline/ref=C1C88F2C26935F2B6BC08A4379201A85F8D1D6F77B89F41B76D875546BABE3E46EC432B5BFF7D4283CE3917BCE5BBF683AE258778259T9HCM" TargetMode="External"/><Relationship Id="rId26" Type="http://schemas.openxmlformats.org/officeDocument/2006/relationships/hyperlink" Target="consultantplus://offline/ref=C1C88F2C26935F2B6BC08A4379201A85F8D0D7F97681F41B76D875546BABE3E46EC432B1B3F0D5283CE3917BCE5BBF683AE258778259T9H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C88F2C26935F2B6BC08A4379201A85F8D0D7F97681F41B76D875546BABE3E46EC432B1B3F0D5283CE3917BCE5BBF683AE258778259T9HCM" TargetMode="External"/><Relationship Id="rId7" Type="http://schemas.openxmlformats.org/officeDocument/2006/relationships/hyperlink" Target="consultantplus://offline/ref=C1C88F2C26935F2B6BC0944E6F4C4480FCD98EFD7681F64A2E872E093CA2E9B3298B6BF7F2FED32368B2D52BC80DEB326EED44709C599725A5C0D1T6H8M" TargetMode="External"/><Relationship Id="rId12" Type="http://schemas.openxmlformats.org/officeDocument/2006/relationships/hyperlink" Target="consultantplus://offline/ref=C1C88F2C26935F2B6BC08A4379201A85F8D1D6F77B89F41B76D875546BABE3E46EC432B5BFF7D4283CE3917BCE5BBF683AE258778259T9HCM" TargetMode="External"/><Relationship Id="rId17" Type="http://schemas.openxmlformats.org/officeDocument/2006/relationships/hyperlink" Target="consultantplus://offline/ref=C1C88F2C26935F2B6BC0944E6F4C4480FCD98EFD7A8FFF4D2C872E093CA2E9B3298B6BF7F2FED32368B2D52BC80DEB326EED44709C599725A5C0D1T6H8M" TargetMode="External"/><Relationship Id="rId25" Type="http://schemas.openxmlformats.org/officeDocument/2006/relationships/hyperlink" Target="consultantplus://offline/ref=C1C88F2C26935F2B6BC08A4379201A85F8D1D6F77B89F41B76D875546BABE3E46EC432B1B6F7D0283CE3917BCE5BBF683AE258778259T9H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C88F2C26935F2B6BC0944E6F4C4480FCD98EFD7B8DFB482A872E093CA2E9B3298B6BF7F2FED32368B2D528C80DEB326EED44709C599725A5C0D1T6H8M" TargetMode="External"/><Relationship Id="rId20" Type="http://schemas.openxmlformats.org/officeDocument/2006/relationships/hyperlink" Target="consultantplus://offline/ref=C1C88F2C26935F2B6BC08A4379201A85F8D1D6F77B89F41B76D875546BABE3E47CC46AB9B4F6CC226AACD72EC2T5H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88F2C26935F2B6BC0944E6F4C4480FCD98EFD708BFE4B2A872E093CA2E9B3298B6BF7F2FED32368B2D52BC80DEB326EED44709C599725A5C0D1T6H8M" TargetMode="External"/><Relationship Id="rId11" Type="http://schemas.openxmlformats.org/officeDocument/2006/relationships/hyperlink" Target="consultantplus://offline/ref=C1C88F2C26935F2B6BC0944E6F4C4480FCD98EFD7A8FFF4D2C872E093CA2E9B3298B6BF7F2FED32368B2D52BC80DEB326EED44709C599725A5C0D1T6H8M" TargetMode="External"/><Relationship Id="rId24" Type="http://schemas.openxmlformats.org/officeDocument/2006/relationships/hyperlink" Target="consultantplus://offline/ref=C1C88F2C26935F2B6BC08A4379201A85F8D1D6F77B89F41B76D875546BABE3E46EC432B1B6F0DB283CE3917BCE5BBF683AE258778259T9HCM" TargetMode="External"/><Relationship Id="rId5" Type="http://schemas.openxmlformats.org/officeDocument/2006/relationships/hyperlink" Target="consultantplus://offline/ref=C1C88F2C26935F2B6BC0944E6F4C4480FCD98EFD718BFE442C872E093CA2E9B3298B6BF7F2FED32368B2D52BC80DEB326EED44709C599725A5C0D1T6H8M" TargetMode="External"/><Relationship Id="rId15" Type="http://schemas.openxmlformats.org/officeDocument/2006/relationships/hyperlink" Target="consultantplus://offline/ref=C1C88F2C26935F2B6BC0944E6F4C4480FCD98EFD7B89FF4D2E872E093CA2E9B3298B6BE5F2A6DF216DACD42CDD5BBA77T3H2M" TargetMode="External"/><Relationship Id="rId23" Type="http://schemas.openxmlformats.org/officeDocument/2006/relationships/hyperlink" Target="consultantplus://offline/ref=C1C88F2C26935F2B6BC08A4379201A85F8D0D7F97681F41B76D875546BABE3E46EC432B1B3F0D5283CE3917BCE5BBF683AE258778259T9H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C88F2C26935F2B6BC0944E6F4C4480FCD98EFD7A88F74429872E093CA2E9B3298B6BF7F2FED32368B2D52BC80DEB326EED44709C599725A5C0D1T6H8M" TargetMode="External"/><Relationship Id="rId19" Type="http://schemas.openxmlformats.org/officeDocument/2006/relationships/hyperlink" Target="consultantplus://offline/ref=C1C88F2C26935F2B6BC08A4379201A85F8D1D6F77B89F41B76D875546BABE3E46EC432B1B7F4D5283CE3917BCE5BBF683AE258778259T9H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C88F2C26935F2B6BC0944E6F4C4480FCD98EFD7B8DFB482A872E093CA2E9B3298B6BF7F2FED32368B2D52BC80DEB326EED44709C599725A5C0D1T6H8M" TargetMode="External"/><Relationship Id="rId14" Type="http://schemas.openxmlformats.org/officeDocument/2006/relationships/hyperlink" Target="consultantplus://offline/ref=C1C88F2C26935F2B6BC0944E6F4C4480FCD98EFD7A8CF6452E872E093CA2E9B3298B6BF7F2FED32368B2D229C80DEB326EED44709C599725A5C0D1T6H8M" TargetMode="External"/><Relationship Id="rId22" Type="http://schemas.openxmlformats.org/officeDocument/2006/relationships/hyperlink" Target="consultantplus://offline/ref=C1C88F2C26935F2B6BC08A4379201A85F8D1D6F77B89F41B76D875546BABE3E46EC432B6BFF7D0283CE3917BCE5BBF683AE258778259T9HC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3128</Words>
  <Characters>17830</Characters>
  <Application>Microsoft Office Word</Application>
  <DocSecurity>0</DocSecurity>
  <Lines>148</Lines>
  <Paragraphs>41</Paragraphs>
  <ScaleCrop>false</ScaleCrop>
  <Company>*****</Company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KondrashovaMV</cp:lastModifiedBy>
  <cp:revision>1</cp:revision>
  <dcterms:created xsi:type="dcterms:W3CDTF">2019-12-25T12:07:00Z</dcterms:created>
  <dcterms:modified xsi:type="dcterms:W3CDTF">2019-12-25T12:08:00Z</dcterms:modified>
</cp:coreProperties>
</file>