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8" w:rsidRPr="00640985" w:rsidRDefault="009A27B5" w:rsidP="000D2CA9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Отчет о</w:t>
      </w:r>
      <w:bookmarkStart w:id="0" w:name="_GoBack"/>
      <w:bookmarkEnd w:id="0"/>
      <w:r w:rsidR="00640985" w:rsidRPr="0064098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реализации Комплексной программы по поддержке социально ориентированных некоммерческих организаций (СО НКО) в городе Мурманске по итогам 2020 года.</w:t>
      </w:r>
    </w:p>
    <w:p w:rsidR="009D2262" w:rsidRPr="00AE23EE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E23EE" w:rsidRPr="00AE23EE" w:rsidRDefault="00AE23EE" w:rsidP="00AE23E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23EE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Информирует:</w:t>
      </w:r>
      <w:r w:rsidRPr="00AE23EE">
        <w:t xml:space="preserve"> </w:t>
      </w:r>
      <w:r w:rsidRPr="00AE23EE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представитель</w:t>
      </w:r>
      <w:r w:rsidRPr="00AE23EE">
        <w:t xml:space="preserve"> </w:t>
      </w:r>
      <w:r w:rsidRPr="00AE23EE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AE23EE" w:rsidRPr="00AE23EE" w:rsidRDefault="00AE23EE" w:rsidP="00AE23E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3B7F" w:rsidRDefault="008E3B7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E3B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Взаимодействие органов местного самоуправления с СОНКО, представляющими интересы различных групп населения, является неотъемлемой частью работы, позволяющей осуществлять различные формы поддержки СОНКО, привлечение их к решению насущных городских проблем социально активной части населения города Мурманска. </w:t>
      </w:r>
      <w:proofErr w:type="gramEnd"/>
    </w:p>
    <w:p w:rsidR="008E3B7F" w:rsidRPr="008E3B7F" w:rsidRDefault="008E3B7F" w:rsidP="00F74CBC">
      <w:pPr>
        <w:pStyle w:val="a3"/>
        <w:tabs>
          <w:tab w:val="left" w:pos="284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E3B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Реализация </w:t>
      </w:r>
      <w:r w:rsidR="00D566F0" w:rsidRPr="00D566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Комплексной программы по поддержке социально ориентированных некоммерческих организаций (СОНКО) в городе Мурманске (далее – </w:t>
      </w:r>
      <w:r w:rsidR="00D566F0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Комплексная п</w:t>
      </w:r>
      <w:r w:rsidR="00D566F0" w:rsidRPr="00D566F0">
        <w:rPr>
          <w:rFonts w:ascii="Times New Roman" w:eastAsia="Times New Roman" w:hAnsi="Times New Roman" w:cs="Times New Roman"/>
          <w:spacing w:val="2"/>
          <w:sz w:val="28"/>
          <w:szCs w:val="28"/>
        </w:rPr>
        <w:t>рограмма)</w:t>
      </w:r>
      <w:r w:rsidRPr="008E3B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дает возможность СОНКО воспользоваться мерами муниципальной поддержки, повысить уровень экономической и деловой культуры представителей некоммерческих организаций. </w:t>
      </w:r>
    </w:p>
    <w:p w:rsidR="009D2262" w:rsidRPr="009D2262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перечнем основных мероприятий Комплексной программы комитет</w:t>
      </w:r>
      <w:r w:rsidRPr="009D2262">
        <w:rPr>
          <w:rFonts w:ascii="Times New Roman" w:hAnsi="Times New Roman"/>
          <w:sz w:val="28"/>
          <w:szCs w:val="28"/>
        </w:rPr>
        <w:t xml:space="preserve"> </w:t>
      </w:r>
      <w:r w:rsidR="007E02C5">
        <w:rPr>
          <w:rFonts w:ascii="Times New Roman" w:hAnsi="Times New Roman"/>
          <w:sz w:val="28"/>
          <w:szCs w:val="28"/>
        </w:rPr>
        <w:t xml:space="preserve">по </w:t>
      </w:r>
      <w:r w:rsidRPr="004C56A0">
        <w:rPr>
          <w:rFonts w:ascii="Times New Roman" w:hAnsi="Times New Roman"/>
          <w:sz w:val="28"/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мероприятия, направленные на оказание финансовой, консультационной и информационной поддержки СОНКО.</w:t>
      </w:r>
    </w:p>
    <w:p w:rsidR="009D2262" w:rsidRPr="009D2262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Данные мероприятия реализуются в рамках подпрограммы «Поддержка общественных и гражданских инициатив в городе Мурманске» на 2018-2024 годы муниципальной программы города Мурманска «Развитие муниципального самоуправления и гражданского общества» на 2018-2024 годы, утвержденной постановлением администрации города Мурманска от 13.11.2017 № 3609. </w:t>
      </w:r>
    </w:p>
    <w:p w:rsidR="009D2262" w:rsidRPr="009D2262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 1.1. </w:t>
      </w:r>
      <w:r w:rsidR="00D566F0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рограммы «Предоставление субсидии СОНКО» субсидии социально ориентированным некоммерческим организациям предоставляются на конкурсной основе уполномоченным органом администрации города Мурманска по результатам проведения конкурса программ (проектов) социально ориентированных некоммерческих организаций (далее – Конкурс).</w:t>
      </w:r>
    </w:p>
    <w:p w:rsidR="009D2262" w:rsidRPr="009D2262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В 2020 году на Конкурс было подано 8 заявок, по итогам которого было признано 8 победителей. По пункту подпрограммы выделено 800,0 тыс. руб. Освоено денежных ассигнований на сумму 800,0 тыс. руб.</w:t>
      </w:r>
    </w:p>
    <w:p w:rsidR="007E02C5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35D02" w:rsidRPr="00935D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</w:t>
      </w:r>
      <w:proofErr w:type="gramStart"/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«Оказание информационной поддержки СОНКО, в том числе предоставляющим услуги в сфере физической культуры и спорта, образования» </w:t>
      </w:r>
      <w:r w:rsidR="007E02C5"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>ом по</w:t>
      </w:r>
      <w:r w:rsidR="007E02C5" w:rsidRPr="009D2262">
        <w:rPr>
          <w:rFonts w:ascii="Times New Roman" w:hAnsi="Times New Roman"/>
          <w:sz w:val="28"/>
          <w:szCs w:val="28"/>
        </w:rPr>
        <w:t xml:space="preserve"> </w:t>
      </w:r>
      <w:r w:rsidR="007E02C5" w:rsidRPr="004C56A0">
        <w:rPr>
          <w:rFonts w:ascii="Times New Roman" w:hAnsi="Times New Roman"/>
          <w:sz w:val="28"/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была оказана информационная поддержка в виде размещени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сайте администрации города Мурманска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(10 сообщений)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, в газете «Вечерний Мурманск»</w:t>
      </w:r>
      <w:r w:rsidR="005352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>(1 сообщение)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, путем информирования общественных организаций города Мурманска на бумажном носителе и</w:t>
      </w:r>
      <w:proofErr w:type="gramEnd"/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электронными средствами связи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(240 сообщений</w:t>
      </w:r>
      <w:r w:rsidR="0053528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4018A8" w:rsidRDefault="009D2262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 соответствии с пунктом 3.1 «Оказание консультационной поддержки СОНКО, в том числе предоставляющим услуги в сфере образования» </w:t>
      </w:r>
      <w:r w:rsidR="007E02C5"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>ом по</w:t>
      </w:r>
      <w:r w:rsidR="007E02C5" w:rsidRPr="009D2262">
        <w:rPr>
          <w:rFonts w:ascii="Times New Roman" w:hAnsi="Times New Roman"/>
          <w:sz w:val="28"/>
          <w:szCs w:val="28"/>
        </w:rPr>
        <w:t xml:space="preserve"> </w:t>
      </w:r>
      <w:r w:rsidR="007E02C5" w:rsidRPr="004C56A0">
        <w:rPr>
          <w:rFonts w:ascii="Times New Roman" w:hAnsi="Times New Roman"/>
          <w:sz w:val="28"/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 консультационный семинар для представителей общественных объединений и социально ориентированных некоммерческих организаций,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оказано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8 консультаций в рамках подготовки проектов к Конкурсу и 2</w:t>
      </w:r>
      <w:r w:rsidR="007E0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консультации</w:t>
      </w:r>
      <w:r w:rsidRPr="009D22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обращениям граждан. </w:t>
      </w:r>
      <w:proofErr w:type="gramEnd"/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перечнем основных мероприятий Комплексной программы в 2020 году комитетом по культуре администрации города Мурманска (далее – Комитет) оказывалась финансовая и информационная под</w:t>
      </w:r>
      <w:r w:rsidR="006916E5">
        <w:rPr>
          <w:rFonts w:ascii="Times New Roman" w:eastAsia="Times New Roman" w:hAnsi="Times New Roman" w:cs="Times New Roman"/>
          <w:spacing w:val="2"/>
          <w:sz w:val="28"/>
          <w:szCs w:val="28"/>
        </w:rPr>
        <w:t>держка социально ориентированным некоммерческим организациям</w:t>
      </w: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Мероприятия реализуются в рамках подпрограммы «Поддержка традиций и народного творчества, развитие творческого потенциала жителей города» на 2018-2024 годы муниципальной программы города Мурманска «Развитие культуры» на 2018-2024 годы, утвержденной постановлением администрации города Мурманска от 13.11.2017 № 3603.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94CC0" w:rsidRPr="00E94CC0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</w:t>
      </w: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1.2. </w:t>
      </w:r>
      <w:r w:rsidR="00027879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</w:t>
      </w: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рограммы в 2020 году Комитетом предоставлялась субсидия некоммерческим организациям на организацию и проведение мероприятий в сфере культуры на общую сумму 10179,5 </w:t>
      </w:r>
      <w:proofErr w:type="spellStart"/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тыс</w:t>
      </w:r>
      <w:proofErr w:type="gramStart"/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.р</w:t>
      </w:r>
      <w:proofErr w:type="gramEnd"/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уб</w:t>
      </w:r>
      <w:proofErr w:type="spellEnd"/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За отчетный период количество проведенных праздничных мероприятий составило 7 единиц: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- Театрализованное народное гулянье «Здравствуй, Солнце!»;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- Театрализованное народное гулянье «Широкая Масленица»;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- Праздничные мероприятия, посвященные Дню Победы;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- Городской цикл мероприятий «</w:t>
      </w:r>
      <w:proofErr w:type="spellStart"/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МурманИст</w:t>
      </w:r>
      <w:proofErr w:type="spellEnd"/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. Видео-календарь событий города» - 2 единицы;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- Мероприятия, посвященные Дню города Мурманска;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- Праздничные мероприятия, посвященные встрече Нового года.</w:t>
      </w:r>
    </w:p>
    <w:p w:rsidR="008351DF" w:rsidRPr="008351DF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Комитетом оказывалась информационная поддержка в рамках организации конкурсов проектов проведения культурно-массовых мероприятий некоммерческими организациями. </w:t>
      </w:r>
    </w:p>
    <w:p w:rsidR="004F46D4" w:rsidRDefault="008351DF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Вся необходимая документация, а именно извещение о проведении конкурса проектов и протокол заседания конкурсной комиссии по рассмотрению и оценке проектов размещается на официальном сайте администрации города Мурманска в сети Интернет: </w:t>
      </w:r>
    </w:p>
    <w:p w:rsidR="008351DF" w:rsidRDefault="00FD7802" w:rsidP="008351DF">
      <w:pPr>
        <w:pStyle w:val="a3"/>
        <w:tabs>
          <w:tab w:val="left" w:pos="284"/>
        </w:tabs>
        <w:spacing w:after="0" w:line="30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9" w:anchor="descr" w:history="1">
        <w:r w:rsidR="004F46D4" w:rsidRPr="005F0831">
          <w:rPr>
            <w:rStyle w:val="ac"/>
            <w:rFonts w:ascii="Times New Roman" w:eastAsia="Times New Roman" w:hAnsi="Times New Roman" w:cs="Times New Roman"/>
            <w:spacing w:val="2"/>
            <w:sz w:val="28"/>
            <w:szCs w:val="28"/>
          </w:rPr>
          <w:t>https://www.citymurmansk.ru/strukturnye_podr/?itemid=1095#descr</w:t>
        </w:r>
      </w:hyperlink>
      <w:r w:rsidR="008351DF" w:rsidRPr="008351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F46D4" w:rsidRDefault="004F46D4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46D4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перечнем основных мероприятий Комплексной программы в 2020 году комитетом</w:t>
      </w:r>
      <w:r w:rsidRPr="004F46D4">
        <w:t xml:space="preserve"> </w:t>
      </w:r>
      <w:r w:rsidRPr="004F46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физической культуре и спорту администрации города Мурманска </w:t>
      </w:r>
      <w:r w:rsidR="009121ED" w:rsidRPr="009121ED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мероприятия, направ</w:t>
      </w:r>
      <w:r w:rsidR="009121ED">
        <w:rPr>
          <w:rFonts w:ascii="Times New Roman" w:eastAsia="Times New Roman" w:hAnsi="Times New Roman" w:cs="Times New Roman"/>
          <w:spacing w:val="2"/>
          <w:sz w:val="28"/>
          <w:szCs w:val="28"/>
        </w:rPr>
        <w:t>ленные на оказание финансовой</w:t>
      </w:r>
      <w:r w:rsidR="009121ED" w:rsidRPr="009121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информационной поддержки СОНКО.</w:t>
      </w:r>
    </w:p>
    <w:p w:rsidR="00981EB6" w:rsidRPr="00981EB6" w:rsidRDefault="00866FF7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66F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1.3 Комплексной программы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981EB6"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ние финансовой поддержки СОНКО </w:t>
      </w:r>
      <w:r w:rsidR="00981EB6"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3F32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реализуются</w:t>
      </w:r>
      <w:r w:rsidR="00981EB6"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муниципальной программы города Мурманска «Развитие физической культуры и спорта» на </w:t>
      </w:r>
      <w:r w:rsidR="00981EB6"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2018-2024 годы, утвержденной постановлением от 10.11.2017 № 3601 (далее – программа «Развитие физической культуры и спорта») и в рамках подпрограммы «Комплексные меры по профилактике наркомании в городе Мурманске» на 2018 – 2024 годы муниципальной программы «Охрана здоровья населения города</w:t>
      </w:r>
      <w:proofErr w:type="gramEnd"/>
      <w:r w:rsidR="00981EB6"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Мурманска» на 2018 – 2024 годы, утвержденной постановлением от 13.11.2017 № 3611 (далее - подпрограмма «Комплексные меры по профилактике наркомании в городе Мурманске»).</w:t>
      </w:r>
    </w:p>
    <w:p w:rsidR="00981EB6" w:rsidRPr="00981EB6" w:rsidRDefault="00981EB6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В 2020 году субсидии СОНКО в сфере физической культуры и спорта на конкурсной основе в соответствии с постановлением от 28.09.2017 № 3152 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мероприятий, и положения о проведении конкурса проектов проведения физкультурных и спортивных мероприятий некоммерческими организациями», в рамках программы «Развитие физической культуры и спорта</w:t>
      </w:r>
      <w:proofErr w:type="gramEnd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и подпрограммы «Комплексные меры по профилактике наркомании в городе Мурманске» не были предоставлены, в связи с отменой физкультурных </w:t>
      </w:r>
      <w:r w:rsidR="003879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спортивных мероприятий из-за угрозы распространения на территории Мурманской области новой </w:t>
      </w:r>
      <w:proofErr w:type="spellStart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(COVID 19).</w:t>
      </w:r>
    </w:p>
    <w:p w:rsidR="00981EB6" w:rsidRDefault="00981EB6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 в размере 15 миллионов рублей были предоставлены только АНО «Клуб по хоккею с мячом «</w:t>
      </w:r>
      <w:proofErr w:type="spellStart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Мурман</w:t>
      </w:r>
      <w:proofErr w:type="spellEnd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в соответствии с постановлением от 26 ноября 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 в спортивной дисциплине «хоккей с мячом» </w:t>
      </w:r>
      <w:r w:rsidR="003879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программы «Развитие физической культуры и спорта».</w:t>
      </w:r>
      <w:proofErr w:type="gramEnd"/>
    </w:p>
    <w:p w:rsidR="00E97F97" w:rsidRDefault="00E97F97" w:rsidP="00981EB6">
      <w:pPr>
        <w:pStyle w:val="a3"/>
        <w:tabs>
          <w:tab w:val="left" w:pos="284"/>
        </w:tabs>
        <w:spacing w:after="0" w:line="30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841"/>
        <w:gridCol w:w="2248"/>
        <w:gridCol w:w="2125"/>
      </w:tblGrid>
      <w:tr w:rsidR="00E97F97" w:rsidRPr="00E2453A" w:rsidTr="003F504C">
        <w:tc>
          <w:tcPr>
            <w:tcW w:w="709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4841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Программа</w:t>
            </w:r>
          </w:p>
        </w:tc>
        <w:tc>
          <w:tcPr>
            <w:tcW w:w="2248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</w:tc>
        <w:tc>
          <w:tcPr>
            <w:tcW w:w="2125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в 2020 году, тыс руб</w:t>
            </w:r>
          </w:p>
        </w:tc>
      </w:tr>
      <w:tr w:rsidR="00E97F97" w:rsidRPr="00E2453A" w:rsidTr="003F504C">
        <w:tc>
          <w:tcPr>
            <w:tcW w:w="709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E97F97" w:rsidRPr="00E97F97" w:rsidRDefault="00E97F97" w:rsidP="00FE21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Программа «Развитие физической культуры и спорта»</w:t>
            </w:r>
          </w:p>
        </w:tc>
        <w:tc>
          <w:tcPr>
            <w:tcW w:w="2248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28.09.2017 </w:t>
            </w:r>
          </w:p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№ 3152</w:t>
            </w:r>
          </w:p>
        </w:tc>
        <w:tc>
          <w:tcPr>
            <w:tcW w:w="2125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</w:tr>
      <w:tr w:rsidR="00E97F97" w:rsidRPr="00E2453A" w:rsidTr="003F504C">
        <w:tc>
          <w:tcPr>
            <w:tcW w:w="709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E97F97" w:rsidRPr="00E97F97" w:rsidRDefault="00E97F97" w:rsidP="00FE21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Подпрограмма «Комплексные меры по профилактике наркомании в городе Мурманске»</w:t>
            </w:r>
          </w:p>
        </w:tc>
        <w:tc>
          <w:tcPr>
            <w:tcW w:w="2248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28.09.2017 </w:t>
            </w:r>
          </w:p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№ 3152</w:t>
            </w:r>
          </w:p>
        </w:tc>
        <w:tc>
          <w:tcPr>
            <w:tcW w:w="2125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</w:tr>
      <w:tr w:rsidR="00E97F97" w:rsidRPr="00E2453A" w:rsidTr="003F504C">
        <w:tc>
          <w:tcPr>
            <w:tcW w:w="709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E97F97" w:rsidRPr="00E97F97" w:rsidRDefault="00E97F97" w:rsidP="00FE21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Программа «Развитие физической культуры и спорта»</w:t>
            </w:r>
          </w:p>
        </w:tc>
        <w:tc>
          <w:tcPr>
            <w:tcW w:w="2248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от 26 ноября 2013 № 3416</w:t>
            </w:r>
          </w:p>
        </w:tc>
        <w:tc>
          <w:tcPr>
            <w:tcW w:w="2125" w:type="dxa"/>
            <w:vAlign w:val="center"/>
          </w:tcPr>
          <w:p w:rsidR="00E97F97" w:rsidRPr="00E97F97" w:rsidRDefault="00E97F97" w:rsidP="00FE21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F97">
              <w:rPr>
                <w:rFonts w:ascii="Times New Roman" w:hAnsi="Times New Roman" w:cs="Times New Roman"/>
                <w:noProof/>
                <w:sz w:val="24"/>
                <w:szCs w:val="24"/>
              </w:rPr>
              <w:t>15 000,00</w:t>
            </w:r>
          </w:p>
        </w:tc>
      </w:tr>
    </w:tbl>
    <w:p w:rsidR="00981EB6" w:rsidRPr="00BF3571" w:rsidRDefault="00981EB6" w:rsidP="00BF3571">
      <w:pPr>
        <w:tabs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1DF" w:rsidRDefault="00981EB6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информационной поддер</w:t>
      </w:r>
      <w:r w:rsidR="00BF35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жки СОНКО в соответствии </w:t>
      </w:r>
      <w:r w:rsidR="00BF35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 п. 2.1. </w:t>
      </w:r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Комплексной программы в 2020 году не предоставлялось в связи с тем, что конкурсы на финансовое обеспечение затрат, связанных с проведением физкультурных и спортивных мероприятий, не проводились из-за угрозы распространения на территории Мурманской области новой </w:t>
      </w:r>
      <w:proofErr w:type="spellStart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981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(COVID 19).</w:t>
      </w:r>
    </w:p>
    <w:p w:rsidR="00F93921" w:rsidRDefault="00F93921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39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перечнем основных мероприятий Комплексной программы в 2020 году комитетом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образованию</w:t>
      </w:r>
      <w:r w:rsidRPr="00F939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города Мурманска осуществляет мероприятия, напр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авленные на оказание </w:t>
      </w:r>
      <w:r w:rsidRPr="00F93921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консультационной </w:t>
      </w:r>
      <w:r w:rsidRPr="00F939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поддержки СОНКО.</w:t>
      </w:r>
    </w:p>
    <w:p w:rsidR="00AC125C" w:rsidRDefault="00AC125C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соответствии с пунктом 2</w:t>
      </w:r>
      <w:r w:rsidRPr="00AC125C">
        <w:rPr>
          <w:rFonts w:ascii="Times New Roman" w:eastAsia="Times New Roman" w:hAnsi="Times New Roman" w:cs="Times New Roman"/>
          <w:spacing w:val="2"/>
          <w:sz w:val="28"/>
          <w:szCs w:val="28"/>
        </w:rPr>
        <w:t>.1.  Комплексной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оказана информационная поддержка СОНКО в виде 3 размещений соответствующих материалов на Образовательном портале города Мурманска, в газете «Вечерний Мурманск» и на официальных сайтах муниципальных образовательных учреждений.</w:t>
      </w:r>
    </w:p>
    <w:p w:rsidR="00AC125C" w:rsidRDefault="00AC125C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 3</w:t>
      </w:r>
      <w:r w:rsidRPr="00AC125C">
        <w:rPr>
          <w:rFonts w:ascii="Times New Roman" w:eastAsia="Times New Roman" w:hAnsi="Times New Roman" w:cs="Times New Roman"/>
          <w:spacing w:val="2"/>
          <w:sz w:val="28"/>
          <w:szCs w:val="28"/>
        </w:rPr>
        <w:t>.1.  Комплексной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2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консультационных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 для СОНКО в дистанционном формате.</w:t>
      </w:r>
    </w:p>
    <w:p w:rsidR="008351DF" w:rsidRDefault="00D566F0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66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пунктом 4.1. </w:t>
      </w:r>
      <w:r w:rsidRPr="00D566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Комплексной программы комитет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экономическому развитию администрации города Мурманска </w:t>
      </w:r>
      <w:r w:rsidRPr="00D566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 мероприятия, направленные на </w:t>
      </w:r>
      <w:r w:rsidR="004904C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566F0">
        <w:rPr>
          <w:rFonts w:ascii="Times New Roman" w:eastAsia="Times New Roman" w:hAnsi="Times New Roman" w:cs="Times New Roman"/>
          <w:spacing w:val="2"/>
          <w:sz w:val="28"/>
          <w:szCs w:val="28"/>
        </w:rPr>
        <w:t>редоставление СОНКО льгот, отсрочек (рассрочек) по арендной плате за землю и польз</w:t>
      </w:r>
      <w:r w:rsidR="004904CB">
        <w:rPr>
          <w:rFonts w:ascii="Times New Roman" w:eastAsia="Times New Roman" w:hAnsi="Times New Roman" w:cs="Times New Roman"/>
          <w:spacing w:val="2"/>
          <w:sz w:val="28"/>
          <w:szCs w:val="28"/>
        </w:rPr>
        <w:t>ование муниципальным имуществом.</w:t>
      </w:r>
    </w:p>
    <w:p w:rsidR="004904CB" w:rsidRDefault="004904CB" w:rsidP="00F74CBC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04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решением Совета депутатов города Мурманска </w:t>
      </w:r>
      <w:r w:rsidR="00BC173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904CB">
        <w:rPr>
          <w:rFonts w:ascii="Times New Roman" w:eastAsia="Times New Roman" w:hAnsi="Times New Roman" w:cs="Times New Roman"/>
          <w:spacing w:val="2"/>
          <w:sz w:val="28"/>
          <w:szCs w:val="28"/>
        </w:rPr>
        <w:t>от 13.12.2019 № 6-82 льготы по арендной плате за пользование муниципальным имуществом в 2020 году получили 14 общественных организаций на 16 помещений.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1559"/>
      </w:tblGrid>
      <w:tr w:rsidR="00E97F97" w:rsidRPr="00E97F97" w:rsidTr="003F504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понижающего коэффициента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областная общественная организация социальной поддержки населения «Прометей плюс», нежилое помещение, расположенное по адресу: улица Карла Либкнехта, дом 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7F97" w:rsidRPr="00E97F97" w:rsidTr="003F504C">
        <w:tc>
          <w:tcPr>
            <w:tcW w:w="709" w:type="dxa"/>
            <w:vMerge w:val="restart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нежилое помещение, расположенное по адресу: улица Крупской, дом 52</w:t>
            </w:r>
          </w:p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7F97" w:rsidRPr="00E97F97" w:rsidTr="003F504C">
        <w:tc>
          <w:tcPr>
            <w:tcW w:w="709" w:type="dxa"/>
            <w:vMerge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 проспект Ленина, дом 101, проспект Кольский, дом 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vMerge w:val="restart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 улица Павлика Морозова, дом 1/7, улица Адмирала флота </w:t>
            </w: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Лобова, дом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7F97" w:rsidRPr="00E97F97" w:rsidTr="003F504C">
        <w:tc>
          <w:tcPr>
            <w:tcW w:w="709" w:type="dxa"/>
            <w:vMerge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инвалидов», нежилое помещение, расположенное по адресу: улица </w:t>
            </w:r>
            <w:proofErr w:type="spell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городская Общественная организация «Жители блокадного Ленинграда», нежилое помещение, расположенное по адресу: улица Полярный Круг, дом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Мурманское региональное отделение Общероссийской общественной организации «Российский Красный Крест», нежилые помещения, расположенные по адресам: улица Олега Кошевого, дом 3, проспект Кирова, дом 62а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адресу: улица Олега Кошевого, дом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"Радуга", нежилые помещения, расположенные по адресам: проезд Ивана </w:t>
            </w:r>
            <w:proofErr w:type="spell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19, улица Магомета Гаджиева, дом 16</w:t>
            </w:r>
          </w:p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Мурманская городская организация Объединения инвалидов «Истоки», нежилые помещения, расположенные по адресам: улица Академика </w:t>
            </w:r>
            <w:proofErr w:type="spell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39, улица Полярные Зори, дом 41/2, улица Карла Маркса, дом 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помещение, расположенное по адресу: улица Полярные Зори, дом </w:t>
            </w: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41, корпус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«Озарение», нежилое помещение, расположенное по адресу: улица Александрова, дом 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rPr>
          <w:trHeight w:val="2210"/>
        </w:trPr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адресу: улица Полярные Зори, дом 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rPr>
          <w:trHeight w:val="1972"/>
        </w:trPr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организация Мурманской области добровольного благотворительного общества защиты бездомных животных «Приют», нежилое помещение, расположенное по адресу: проезд </w:t>
            </w:r>
            <w:proofErr w:type="spell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Автопарковый</w:t>
            </w:r>
            <w:proofErr w:type="spell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доброты», нежилое помещение, расположенное по адресу: улица </w:t>
            </w:r>
            <w:proofErr w:type="spell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40, корпус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F97" w:rsidRPr="00E97F97" w:rsidTr="003F504C">
        <w:tc>
          <w:tcPr>
            <w:tcW w:w="70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областная молодёжная общественная организация «ПЕРСПЕКТИВА», нежилое помещение, расположенное по адресу: улица Капитана </w:t>
            </w:r>
            <w:proofErr w:type="spellStart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7F97" w:rsidRPr="00E97F97" w:rsidRDefault="00E97F97" w:rsidP="00E97F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F9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E97F97" w:rsidRPr="00E97F97" w:rsidRDefault="00E97F97" w:rsidP="00E97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7F97" w:rsidRDefault="00E97F97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F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дополнительных инвестиций в 2020 году предоставлены льготы по арендной плате за земельные участки, находящиеся в муниципальной собственности, и земельные участки, государственная собственность на которые не разграничена, на развитие основных средств АО «Бюро </w:t>
      </w:r>
      <w:proofErr w:type="spellStart"/>
      <w:r w:rsidRPr="00E97F97">
        <w:rPr>
          <w:rFonts w:ascii="Times New Roman" w:eastAsia="Times New Roman" w:hAnsi="Times New Roman" w:cs="Times New Roman"/>
          <w:sz w:val="28"/>
          <w:szCs w:val="28"/>
        </w:rPr>
        <w:t>спецобслуживания</w:t>
      </w:r>
      <w:proofErr w:type="spellEnd"/>
      <w:r w:rsidRPr="00E97F97">
        <w:rPr>
          <w:rFonts w:ascii="Times New Roman" w:eastAsia="Times New Roman" w:hAnsi="Times New Roman" w:cs="Times New Roman"/>
          <w:sz w:val="28"/>
          <w:szCs w:val="28"/>
        </w:rPr>
        <w:t>», ММУП «Центр временного содержания животных», АО «Электротранспорт города Мурманска», АО «Отель «АРКТИКА», ООО «</w:t>
      </w:r>
      <w:proofErr w:type="spellStart"/>
      <w:r w:rsidRPr="00E97F97">
        <w:rPr>
          <w:rFonts w:ascii="Times New Roman" w:eastAsia="Times New Roman" w:hAnsi="Times New Roman" w:cs="Times New Roman"/>
          <w:sz w:val="28"/>
          <w:szCs w:val="28"/>
        </w:rPr>
        <w:t>ПоларСтрой</w:t>
      </w:r>
      <w:proofErr w:type="spellEnd"/>
      <w:r w:rsidRPr="00E97F97">
        <w:rPr>
          <w:rFonts w:ascii="Times New Roman" w:eastAsia="Times New Roman" w:hAnsi="Times New Roman" w:cs="Times New Roman"/>
          <w:sz w:val="28"/>
          <w:szCs w:val="28"/>
        </w:rPr>
        <w:t>», ООО «Центральный стадион профсоюзов», АО «</w:t>
      </w:r>
      <w:proofErr w:type="spellStart"/>
      <w:r w:rsidRPr="00E97F97">
        <w:rPr>
          <w:rFonts w:ascii="Times New Roman" w:eastAsia="Times New Roman" w:hAnsi="Times New Roman" w:cs="Times New Roman"/>
          <w:sz w:val="28"/>
          <w:szCs w:val="28"/>
        </w:rPr>
        <w:t>Мурманоблгаз</w:t>
      </w:r>
      <w:proofErr w:type="spellEnd"/>
      <w:r w:rsidRPr="00E97F97">
        <w:rPr>
          <w:rFonts w:ascii="Times New Roman" w:eastAsia="Times New Roman" w:hAnsi="Times New Roman" w:cs="Times New Roman"/>
          <w:sz w:val="28"/>
          <w:szCs w:val="28"/>
        </w:rPr>
        <w:t>», МРООГО «Всероссийское физкультурно-спортивное общество</w:t>
      </w:r>
      <w:proofErr w:type="gramEnd"/>
      <w:r w:rsidRPr="00E97F97">
        <w:rPr>
          <w:rFonts w:ascii="Times New Roman" w:eastAsia="Times New Roman" w:hAnsi="Times New Roman" w:cs="Times New Roman"/>
          <w:sz w:val="28"/>
          <w:szCs w:val="28"/>
        </w:rPr>
        <w:t xml:space="preserve"> «Динамо», АО «Фармация Мурманска», МРОО «Физкультурно-оздоровительная организация «Здоровый город».</w:t>
      </w:r>
    </w:p>
    <w:p w:rsidR="00F74CBC" w:rsidRDefault="00F74CBC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пунктом 4.2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.  Комплексной программы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имущественных отношений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 города Мур</w:t>
      </w:r>
      <w:r>
        <w:rPr>
          <w:rFonts w:ascii="Times New Roman" w:eastAsia="Times New Roman" w:hAnsi="Times New Roman" w:cs="Times New Roman"/>
          <w:sz w:val="28"/>
          <w:szCs w:val="28"/>
        </w:rPr>
        <w:t>манска осуществляет мероприятия</w:t>
      </w:r>
      <w:r w:rsidRPr="00F74CBC">
        <w:t xml:space="preserve"> 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>в части передачи во вла</w:t>
      </w:r>
      <w:r w:rsidR="004311D1">
        <w:rPr>
          <w:rFonts w:ascii="Times New Roman" w:eastAsia="Times New Roman" w:hAnsi="Times New Roman" w:cs="Times New Roman"/>
          <w:sz w:val="28"/>
          <w:szCs w:val="28"/>
        </w:rPr>
        <w:t>дение и (или) пользование СО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>НКО на безвозмездной основе либо на условиях аренды объектов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CBC" w:rsidRDefault="00F74CBC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 2020 году количество объектов муниципального имущества,  переданного СО НКО в 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 муниципальной поддержки – 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>75 ед., в том числе в аренду 53 объекта, в безвозмездное пользование 22 объекта.</w:t>
      </w:r>
    </w:p>
    <w:p w:rsidR="00F74CBC" w:rsidRDefault="006A366A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</w:t>
      </w:r>
      <w:r w:rsidRPr="006A366A">
        <w:rPr>
          <w:rFonts w:ascii="Times New Roman" w:eastAsia="Times New Roman" w:hAnsi="Times New Roman" w:cs="Times New Roman"/>
          <w:sz w:val="28"/>
          <w:szCs w:val="28"/>
        </w:rPr>
        <w:t>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6A366A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дала</w:t>
      </w:r>
      <w:r w:rsidRPr="006A366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СОНКО воспользоваться мерами муниципальной поддержки, повысить уровень экономической и деловой культуры представителей некоммерческих организаций.</w:t>
      </w:r>
    </w:p>
    <w:p w:rsidR="00F74CBC" w:rsidRDefault="00F74CBC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9F57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7F7" w:rsidRDefault="009F57F7" w:rsidP="009F57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DD5" w:rsidRDefault="00543DD5" w:rsidP="00F74CBC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3DD5" w:rsidSect="00A05AD5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9A" w:rsidRDefault="00E6409A" w:rsidP="00076659">
      <w:pPr>
        <w:spacing w:after="0" w:line="240" w:lineRule="auto"/>
      </w:pPr>
      <w:r>
        <w:separator/>
      </w:r>
    </w:p>
  </w:endnote>
  <w:endnote w:type="continuationSeparator" w:id="0">
    <w:p w:rsidR="00E6409A" w:rsidRDefault="00E6409A" w:rsidP="0007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9A" w:rsidRDefault="00E6409A" w:rsidP="00076659">
      <w:pPr>
        <w:spacing w:after="0" w:line="240" w:lineRule="auto"/>
      </w:pPr>
      <w:r>
        <w:separator/>
      </w:r>
    </w:p>
  </w:footnote>
  <w:footnote w:type="continuationSeparator" w:id="0">
    <w:p w:rsidR="00E6409A" w:rsidRDefault="00E6409A" w:rsidP="0007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9F" w:rsidRDefault="00DF679F">
    <w:pPr>
      <w:pStyle w:val="a8"/>
      <w:jc w:val="center"/>
    </w:pPr>
  </w:p>
  <w:p w:rsidR="00DF679F" w:rsidRDefault="00DF6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EF5"/>
    <w:multiLevelType w:val="hybridMultilevel"/>
    <w:tmpl w:val="85EC3C22"/>
    <w:lvl w:ilvl="0" w:tplc="4446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4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67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E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F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471F05"/>
    <w:multiLevelType w:val="hybridMultilevel"/>
    <w:tmpl w:val="6E46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3BEE"/>
    <w:multiLevelType w:val="hybridMultilevel"/>
    <w:tmpl w:val="B3649710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3F7949D5"/>
    <w:multiLevelType w:val="hybridMultilevel"/>
    <w:tmpl w:val="0518B40A"/>
    <w:lvl w:ilvl="0" w:tplc="3384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87A89"/>
    <w:multiLevelType w:val="hybridMultilevel"/>
    <w:tmpl w:val="BCB29B8A"/>
    <w:lvl w:ilvl="0" w:tplc="D6201C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4AB25A2"/>
    <w:multiLevelType w:val="hybridMultilevel"/>
    <w:tmpl w:val="E50C9C0E"/>
    <w:lvl w:ilvl="0" w:tplc="44480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20B9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AD5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66C4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284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A805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885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3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D46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5ACB6344"/>
    <w:multiLevelType w:val="hybridMultilevel"/>
    <w:tmpl w:val="0906AEA0"/>
    <w:lvl w:ilvl="0" w:tplc="B078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C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8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4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35501D"/>
    <w:multiLevelType w:val="hybridMultilevel"/>
    <w:tmpl w:val="4C42E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E865BF"/>
    <w:multiLevelType w:val="hybridMultilevel"/>
    <w:tmpl w:val="4B72D3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775AD7"/>
    <w:multiLevelType w:val="hybridMultilevel"/>
    <w:tmpl w:val="4BBE3456"/>
    <w:lvl w:ilvl="0" w:tplc="3C74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2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8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2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2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43367B"/>
    <w:multiLevelType w:val="hybridMultilevel"/>
    <w:tmpl w:val="8CF897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6B84D88"/>
    <w:multiLevelType w:val="hybridMultilevel"/>
    <w:tmpl w:val="F2E62072"/>
    <w:lvl w:ilvl="0" w:tplc="E4648D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6"/>
    <w:rsid w:val="00027879"/>
    <w:rsid w:val="00031CE4"/>
    <w:rsid w:val="0003789D"/>
    <w:rsid w:val="00043218"/>
    <w:rsid w:val="00055D9B"/>
    <w:rsid w:val="00075B1D"/>
    <w:rsid w:val="00076659"/>
    <w:rsid w:val="000826BA"/>
    <w:rsid w:val="000B3EA6"/>
    <w:rsid w:val="000B5019"/>
    <w:rsid w:val="000D2CA9"/>
    <w:rsid w:val="000E18DC"/>
    <w:rsid w:val="000F1FF0"/>
    <w:rsid w:val="00105995"/>
    <w:rsid w:val="0011300F"/>
    <w:rsid w:val="0011688D"/>
    <w:rsid w:val="00120C9E"/>
    <w:rsid w:val="00121A7B"/>
    <w:rsid w:val="001230A0"/>
    <w:rsid w:val="001322F0"/>
    <w:rsid w:val="00153F32"/>
    <w:rsid w:val="00187D62"/>
    <w:rsid w:val="001961A1"/>
    <w:rsid w:val="001974FE"/>
    <w:rsid w:val="001A0258"/>
    <w:rsid w:val="001A6DFA"/>
    <w:rsid w:val="001C7B99"/>
    <w:rsid w:val="001E7B8C"/>
    <w:rsid w:val="001F5297"/>
    <w:rsid w:val="00214552"/>
    <w:rsid w:val="00240B31"/>
    <w:rsid w:val="00243490"/>
    <w:rsid w:val="00295C55"/>
    <w:rsid w:val="002D215C"/>
    <w:rsid w:val="002D5E73"/>
    <w:rsid w:val="00316DBC"/>
    <w:rsid w:val="00353E50"/>
    <w:rsid w:val="003743F8"/>
    <w:rsid w:val="003769E6"/>
    <w:rsid w:val="0038790F"/>
    <w:rsid w:val="00396009"/>
    <w:rsid w:val="003A7335"/>
    <w:rsid w:val="003F504C"/>
    <w:rsid w:val="004018A8"/>
    <w:rsid w:val="0040449E"/>
    <w:rsid w:val="004311D1"/>
    <w:rsid w:val="00437228"/>
    <w:rsid w:val="004402A2"/>
    <w:rsid w:val="0044050F"/>
    <w:rsid w:val="004405D4"/>
    <w:rsid w:val="004431F7"/>
    <w:rsid w:val="004465B8"/>
    <w:rsid w:val="00456512"/>
    <w:rsid w:val="004673F8"/>
    <w:rsid w:val="004813C0"/>
    <w:rsid w:val="004904CB"/>
    <w:rsid w:val="004A0FD5"/>
    <w:rsid w:val="004D09F3"/>
    <w:rsid w:val="004E761B"/>
    <w:rsid w:val="004F46D4"/>
    <w:rsid w:val="005241E7"/>
    <w:rsid w:val="00533739"/>
    <w:rsid w:val="00535288"/>
    <w:rsid w:val="00537724"/>
    <w:rsid w:val="00543DD5"/>
    <w:rsid w:val="00557417"/>
    <w:rsid w:val="0058111E"/>
    <w:rsid w:val="005D2EA2"/>
    <w:rsid w:val="005F40C2"/>
    <w:rsid w:val="00626200"/>
    <w:rsid w:val="00632F46"/>
    <w:rsid w:val="00640985"/>
    <w:rsid w:val="00647F2B"/>
    <w:rsid w:val="00675F9E"/>
    <w:rsid w:val="006916E5"/>
    <w:rsid w:val="006A366A"/>
    <w:rsid w:val="006A6230"/>
    <w:rsid w:val="006D5B37"/>
    <w:rsid w:val="00715DD5"/>
    <w:rsid w:val="00735617"/>
    <w:rsid w:val="00752E7D"/>
    <w:rsid w:val="007672CC"/>
    <w:rsid w:val="007715D5"/>
    <w:rsid w:val="00791591"/>
    <w:rsid w:val="007B3A0F"/>
    <w:rsid w:val="007E02C5"/>
    <w:rsid w:val="007E0CFB"/>
    <w:rsid w:val="007E1BB4"/>
    <w:rsid w:val="007E29DE"/>
    <w:rsid w:val="0081582A"/>
    <w:rsid w:val="00825A93"/>
    <w:rsid w:val="008351DF"/>
    <w:rsid w:val="00853B3C"/>
    <w:rsid w:val="00857678"/>
    <w:rsid w:val="00866FF7"/>
    <w:rsid w:val="008703EE"/>
    <w:rsid w:val="0087221C"/>
    <w:rsid w:val="0087755B"/>
    <w:rsid w:val="00882FED"/>
    <w:rsid w:val="008A0392"/>
    <w:rsid w:val="008E223B"/>
    <w:rsid w:val="008E3B7F"/>
    <w:rsid w:val="00903D81"/>
    <w:rsid w:val="009121ED"/>
    <w:rsid w:val="00913B1A"/>
    <w:rsid w:val="00917CE2"/>
    <w:rsid w:val="00935D02"/>
    <w:rsid w:val="009645F9"/>
    <w:rsid w:val="00981EB6"/>
    <w:rsid w:val="009966A6"/>
    <w:rsid w:val="00997059"/>
    <w:rsid w:val="009A27B5"/>
    <w:rsid w:val="009B2BC8"/>
    <w:rsid w:val="009D2262"/>
    <w:rsid w:val="009E5ABE"/>
    <w:rsid w:val="009F57F7"/>
    <w:rsid w:val="00A01241"/>
    <w:rsid w:val="00A05AD5"/>
    <w:rsid w:val="00A342EC"/>
    <w:rsid w:val="00A6524A"/>
    <w:rsid w:val="00A74672"/>
    <w:rsid w:val="00A923C8"/>
    <w:rsid w:val="00AA13A0"/>
    <w:rsid w:val="00AA65BF"/>
    <w:rsid w:val="00AC125C"/>
    <w:rsid w:val="00AD03D7"/>
    <w:rsid w:val="00AE22AD"/>
    <w:rsid w:val="00AE23EE"/>
    <w:rsid w:val="00B13CCC"/>
    <w:rsid w:val="00B579E6"/>
    <w:rsid w:val="00B66A24"/>
    <w:rsid w:val="00B8211C"/>
    <w:rsid w:val="00BA083B"/>
    <w:rsid w:val="00BA4870"/>
    <w:rsid w:val="00BC1736"/>
    <w:rsid w:val="00BC5C2F"/>
    <w:rsid w:val="00BC5E7D"/>
    <w:rsid w:val="00BD43AC"/>
    <w:rsid w:val="00BD74D8"/>
    <w:rsid w:val="00BF3571"/>
    <w:rsid w:val="00C02DCF"/>
    <w:rsid w:val="00C171ED"/>
    <w:rsid w:val="00C24117"/>
    <w:rsid w:val="00C41ED3"/>
    <w:rsid w:val="00C67594"/>
    <w:rsid w:val="00C81E92"/>
    <w:rsid w:val="00C842FA"/>
    <w:rsid w:val="00C866E7"/>
    <w:rsid w:val="00CD6ACF"/>
    <w:rsid w:val="00CE24ED"/>
    <w:rsid w:val="00CE4EDF"/>
    <w:rsid w:val="00CF7069"/>
    <w:rsid w:val="00D05588"/>
    <w:rsid w:val="00D075C2"/>
    <w:rsid w:val="00D120F6"/>
    <w:rsid w:val="00D147FB"/>
    <w:rsid w:val="00D45529"/>
    <w:rsid w:val="00D566F0"/>
    <w:rsid w:val="00D60363"/>
    <w:rsid w:val="00D631DE"/>
    <w:rsid w:val="00DA6042"/>
    <w:rsid w:val="00DB18B1"/>
    <w:rsid w:val="00DC7295"/>
    <w:rsid w:val="00DD4E95"/>
    <w:rsid w:val="00DF679F"/>
    <w:rsid w:val="00E253D9"/>
    <w:rsid w:val="00E34639"/>
    <w:rsid w:val="00E6409A"/>
    <w:rsid w:val="00E86C15"/>
    <w:rsid w:val="00E94CC0"/>
    <w:rsid w:val="00E96068"/>
    <w:rsid w:val="00E97F97"/>
    <w:rsid w:val="00EC4D5B"/>
    <w:rsid w:val="00F226ED"/>
    <w:rsid w:val="00F445BC"/>
    <w:rsid w:val="00F46488"/>
    <w:rsid w:val="00F6521D"/>
    <w:rsid w:val="00F71A1A"/>
    <w:rsid w:val="00F74CBC"/>
    <w:rsid w:val="00F93921"/>
    <w:rsid w:val="00FA7E93"/>
    <w:rsid w:val="00FB7BE1"/>
    <w:rsid w:val="00FD105D"/>
    <w:rsid w:val="00FD309A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F46"/>
  </w:style>
  <w:style w:type="paragraph" w:styleId="HTML">
    <w:name w:val="HTML Preformatted"/>
    <w:basedOn w:val="a"/>
    <w:link w:val="HTML0"/>
    <w:uiPriority w:val="99"/>
    <w:semiHidden/>
    <w:unhideWhenUsed/>
    <w:rsid w:val="0091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88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5B1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659"/>
  </w:style>
  <w:style w:type="paragraph" w:styleId="aa">
    <w:name w:val="footer"/>
    <w:basedOn w:val="a"/>
    <w:link w:val="ab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659"/>
  </w:style>
  <w:style w:type="character" w:styleId="ac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F46"/>
  </w:style>
  <w:style w:type="paragraph" w:styleId="HTML">
    <w:name w:val="HTML Preformatted"/>
    <w:basedOn w:val="a"/>
    <w:link w:val="HTML0"/>
    <w:uiPriority w:val="99"/>
    <w:semiHidden/>
    <w:unhideWhenUsed/>
    <w:rsid w:val="0091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88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5B1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659"/>
  </w:style>
  <w:style w:type="paragraph" w:styleId="aa">
    <w:name w:val="footer"/>
    <w:basedOn w:val="a"/>
    <w:link w:val="ab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659"/>
  </w:style>
  <w:style w:type="character" w:styleId="ac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itymurmansk.ru/strukturnye_podr/?item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FAED-FAAC-40E0-BC7E-C94428B7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OlhovayaDV</dc:creator>
  <cp:lastModifiedBy>Кондрашова Мария Викторовна</cp:lastModifiedBy>
  <cp:revision>2</cp:revision>
  <cp:lastPrinted>2021-04-19T12:19:00Z</cp:lastPrinted>
  <dcterms:created xsi:type="dcterms:W3CDTF">2021-04-22T12:55:00Z</dcterms:created>
  <dcterms:modified xsi:type="dcterms:W3CDTF">2021-04-22T12:55:00Z</dcterms:modified>
</cp:coreProperties>
</file>