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67BA" w:rsidRPr="004904FA" w:rsidRDefault="000D67BA">
      <w:pPr>
        <w:pStyle w:val="ConsPlusNormal"/>
        <w:jc w:val="both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Title"/>
        <w:jc w:val="center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АДМИНИСТРАЦИЯ ГОРОДА МУРМАНСКА</w:t>
      </w:r>
    </w:p>
    <w:p w:rsidR="000D67BA" w:rsidRPr="004904FA" w:rsidRDefault="000D67BA">
      <w:pPr>
        <w:pStyle w:val="ConsPlusTitle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Title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ПОСТАНОВЛЕНИЕ</w:t>
      </w:r>
    </w:p>
    <w:p w:rsidR="000D67BA" w:rsidRPr="004904FA" w:rsidRDefault="000D67BA">
      <w:pPr>
        <w:pStyle w:val="ConsPlusTitle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 15.05.2015 № 1264</w:t>
      </w:r>
    </w:p>
    <w:p w:rsidR="000D67BA" w:rsidRPr="004904FA" w:rsidRDefault="000D67BA">
      <w:pPr>
        <w:pStyle w:val="ConsPlusTitle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Title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ОБ УТВЕРЖДЕНИИ ПРАВИЛ УСТАНОВКИ УКАЗАТЕЛЕЙ НАИМЕНОВАНИЙ</w:t>
      </w:r>
    </w:p>
    <w:p w:rsidR="000D67BA" w:rsidRPr="004904FA" w:rsidRDefault="000D67BA">
      <w:pPr>
        <w:pStyle w:val="ConsPlusTitle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ЭЛЕМЕНТОВ УЛИЧНО-ДОРОЖНОЙ СЕТИ И НОМЕРОВ ОБЪЕКТОВ АДРЕСАЦИИ</w:t>
      </w:r>
    </w:p>
    <w:p w:rsidR="000D67BA" w:rsidRPr="004904FA" w:rsidRDefault="000D67BA">
      <w:pPr>
        <w:pStyle w:val="ConsPlusTitle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(АДРЕСНЫХ УКАЗАТЕЛЕЙ) НА ТЕРРИТОРИИ ГОРОДА МУРМАНСКА</w:t>
      </w:r>
    </w:p>
    <w:p w:rsidR="00397C3D" w:rsidRPr="004904FA" w:rsidRDefault="00397C3D" w:rsidP="00397C3D">
      <w:pPr>
        <w:pStyle w:val="ConsPlusNormal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(в ред. постановлений администрации города Мурманска</w:t>
      </w:r>
      <w:proofErr w:type="gramEnd"/>
    </w:p>
    <w:p w:rsidR="000D67BA" w:rsidRPr="004904FA" w:rsidRDefault="00397C3D" w:rsidP="00397C3D">
      <w:pPr>
        <w:spacing w:after="1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 15.08.2016 № 246,</w:t>
      </w:r>
      <w:r w:rsidRPr="004904FA">
        <w:rPr>
          <w:rFonts w:ascii="Arial" w:hAnsi="Arial" w:cs="Arial"/>
          <w:color w:val="0D0D0D" w:themeColor="text1" w:themeTint="F2"/>
          <w:sz w:val="24"/>
          <w:szCs w:val="24"/>
        </w:rPr>
        <w:t xml:space="preserve"> </w:t>
      </w: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 16.04.2021 № 1023)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В соответствии с Правилами присвоения, изменения и аннулирования адресов, утвержденными постановлением Правительства Российской Федерации от 19.11.2014 № 1221, Уставом муниципального образования город Мурманск, Правилами благоустройства территории муниципального образования город Мурманск, утвержденными решением Совета депутатов города Мурманска </w:t>
      </w: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 27.10.2017 № 40-712</w:t>
      </w: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постановляю: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 Утвердить правила установки указателей наименований элементов улично-дорожной сети и номеров объектов адресации (адресных указателей) на территории города Мурманска согласно приложению к настоящему постановлению.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2. Отделу информационно-технического обеспечения и защиты информации администрации города Мурманска (Кузьмин А.Н.) </w:t>
      </w:r>
      <w:proofErr w:type="gram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разместить</w:t>
      </w:r>
      <w:proofErr w:type="gram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настоящее постановление с приложением на официальном сайте администрации города Мурманска в сети Интернет.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 Редакции газеты "Вечерний Мурманск" (Штейн Н.Г.) опубликовать настоящее постановление с приложением.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4. Настоящее постановление вступает в силу со дня официального опубликования.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5. </w:t>
      </w:r>
      <w:proofErr w:type="gram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Контроль за</w:t>
      </w:r>
      <w:proofErr w:type="gram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выполнением настоящего постановления оставляю за собой.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Глава</w:t>
      </w:r>
    </w:p>
    <w:p w:rsidR="000D67BA" w:rsidRPr="004904FA" w:rsidRDefault="000D67BA">
      <w:pPr>
        <w:pStyle w:val="ConsPlusNormal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администрации города Мурманска</w:t>
      </w:r>
    </w:p>
    <w:p w:rsidR="000D67BA" w:rsidRPr="004904FA" w:rsidRDefault="000D67BA">
      <w:pPr>
        <w:pStyle w:val="ConsPlusNormal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А.И.СЫСОЕВ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right"/>
        <w:outlineLvl w:val="0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Приложение</w:t>
      </w:r>
    </w:p>
    <w:p w:rsidR="000D67BA" w:rsidRPr="004904FA" w:rsidRDefault="000D67BA">
      <w:pPr>
        <w:pStyle w:val="ConsPlusNormal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 постановлению</w:t>
      </w:r>
    </w:p>
    <w:p w:rsidR="000D67BA" w:rsidRPr="004904FA" w:rsidRDefault="000D67BA">
      <w:pPr>
        <w:pStyle w:val="ConsPlusNormal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администрации города Мурманска</w:t>
      </w:r>
    </w:p>
    <w:p w:rsidR="000D67BA" w:rsidRPr="004904FA" w:rsidRDefault="00ED610E">
      <w:pPr>
        <w:pStyle w:val="ConsPlusNormal"/>
        <w:jc w:val="right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 15.05.2015</w:t>
      </w:r>
      <w:r w:rsidR="000D67BA"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№ 1264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Title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0" w:name="P33"/>
      <w:bookmarkEnd w:id="0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ПРАВИЛА</w:t>
      </w:r>
    </w:p>
    <w:p w:rsidR="000D67BA" w:rsidRPr="004904FA" w:rsidRDefault="000D67BA">
      <w:pPr>
        <w:pStyle w:val="ConsPlusTitle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УСТАНОВКИ УКАЗАТЕЛЕЙ НАИМЕНОВАНИЙ ЭЛЕМЕНТОВ</w:t>
      </w:r>
    </w:p>
    <w:p w:rsidR="000D67BA" w:rsidRPr="004904FA" w:rsidRDefault="000D67BA">
      <w:pPr>
        <w:pStyle w:val="ConsPlusTitle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УЛИЧНО-ДОРОЖНОЙ СЕТИ И НОМЕРОВ ОБЪЕКТОВ АДРЕСАЦИИ</w:t>
      </w:r>
    </w:p>
    <w:p w:rsidR="000D67BA" w:rsidRPr="004904FA" w:rsidRDefault="000D67BA">
      <w:pPr>
        <w:pStyle w:val="ConsPlusTitle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(АДРЕСНЫХ УКАЗАТЕЛЕЙ) НА ТЕРРИТОРИИ ГОРОДА МУРМАНСКА</w:t>
      </w:r>
    </w:p>
    <w:p w:rsidR="00ED610E" w:rsidRPr="004904FA" w:rsidRDefault="00ED610E" w:rsidP="00ED610E">
      <w:pPr>
        <w:pStyle w:val="ConsPlusNormal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(в ред. постановлений администрации города Мурманска</w:t>
      </w:r>
      <w:proofErr w:type="gramEnd"/>
    </w:p>
    <w:p w:rsidR="000D67BA" w:rsidRPr="004904FA" w:rsidRDefault="00ED610E" w:rsidP="00ED610E">
      <w:pPr>
        <w:spacing w:after="1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 15.08.2016 № 2460, от 16.04.2021 № 1023)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center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 Общие положения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1.1. Правила установки указателей наименований элементов улично-дорожной сети и номеров объектов адресации (адресных указателей) на территории города Мурманска (далее - Правила) определяют требования к размещению, установке и содержанию, внешнему виду и изготовлению адресных указателей.</w:t>
      </w:r>
    </w:p>
    <w:p w:rsidR="005E7387" w:rsidRPr="005E7387" w:rsidRDefault="005E7387" w:rsidP="005E7387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E738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1.2. Понятия, используемые в настоящих Правилах, означают следующее:</w:t>
      </w:r>
    </w:p>
    <w:p w:rsidR="005E7387" w:rsidRPr="005E7387" w:rsidRDefault="005E7387" w:rsidP="005E7387">
      <w:pPr>
        <w:widowControl w:val="0"/>
        <w:autoSpaceDE w:val="0"/>
        <w:autoSpaceDN w:val="0"/>
        <w:spacing w:before="220" w:after="0" w:line="240" w:lineRule="auto"/>
        <w:ind w:firstLine="54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proofErr w:type="gramStart"/>
      <w:r w:rsidRPr="005E738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- элемент улично-дорожной сети - улица, проспект, переулок, проезд, набережная, площадь, бульвар, тупик, съезд, шоссе, аллея и иное;</w:t>
      </w:r>
      <w:proofErr w:type="gramEnd"/>
    </w:p>
    <w:p w:rsidR="005E7387" w:rsidRPr="004904FA" w:rsidRDefault="005E7387" w:rsidP="005E7387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5E7387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</w:t>
      </w:r>
      <w:r w:rsidRPr="005E738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объект адресации:</w:t>
      </w:r>
    </w:p>
    <w:p w:rsidR="005E7387" w:rsidRPr="005E7387" w:rsidRDefault="005E7387" w:rsidP="005E7387">
      <w:pPr>
        <w:autoSpaceDE w:val="0"/>
        <w:autoSpaceDN w:val="0"/>
        <w:adjustRightInd w:val="0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904F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</w:t>
      </w:r>
      <w:r w:rsidRPr="005E738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а) здание (строение, за исключением некапитального строения), в том </w:t>
      </w:r>
      <w:proofErr w:type="gramStart"/>
      <w:r w:rsidRPr="005E738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числе</w:t>
      </w:r>
      <w:proofErr w:type="gramEnd"/>
      <w:r w:rsidRPr="005E738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строительство которого не завершено;</w:t>
      </w:r>
    </w:p>
    <w:p w:rsidR="005E7387" w:rsidRPr="005E7387" w:rsidRDefault="005E7387" w:rsidP="005E738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</w:pPr>
      <w:r w:rsidRPr="004904FA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      </w:t>
      </w:r>
      <w:r w:rsidRPr="005E738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б) сооружение (за исключением некапитального сооружения и линейного объекта), в том </w:t>
      </w:r>
      <w:proofErr w:type="gramStart"/>
      <w:r w:rsidRPr="005E738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>числе</w:t>
      </w:r>
      <w:proofErr w:type="gramEnd"/>
      <w:r w:rsidRPr="005E7387">
        <w:rPr>
          <w:rFonts w:ascii="Times New Roman" w:eastAsia="Times New Roman" w:hAnsi="Times New Roman" w:cs="Times New Roman"/>
          <w:color w:val="0D0D0D" w:themeColor="text1" w:themeTint="F2"/>
          <w:sz w:val="28"/>
          <w:szCs w:val="28"/>
          <w:lang w:eastAsia="ru-RU"/>
        </w:rPr>
        <w:t xml:space="preserve"> строительство которого не завершено.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center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 Требования к размещению, установке</w:t>
      </w:r>
    </w:p>
    <w:p w:rsidR="000D67BA" w:rsidRPr="004904FA" w:rsidRDefault="000D67BA">
      <w:pPr>
        <w:pStyle w:val="ConsPlusNormal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и содержанию адресных указателей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2.1. Адресные указатели должны быть размещены и установлены согласно следующим требованиям: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на главных фасадах объектов адресации, на расстоянии не более 1 м от угла, на высоте от 2,5 до 4 м от уровня земли;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- на участке фасада объекта адресации, свободном от выступающих архитектурных деталей;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с соблюдением существующих вертикальных и горизонтальных осей, архитектурным членением фасада объекта адресации;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с соблюдением единой горизонтальной отметки размещения адресного указателя на фасадах одного объекта адресации и соседних объектов адресации;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верхняя грань адресного указателя устанавливается в единой горизонтальной оси с верхней гранью окна первого этажа при установке на многоквартирном доме, при отсутствии свободного углового пространства допустима установка адресных указателей над окнами первого этажа;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установка осуществляется с правой стороны главного фасада объекта адресации, на объектах адресации с протяженностью фасада более 100 метров адресный указатель устанавливается как с правой, так и с левой стороны главного фасада объекта;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на фасадах объектов адресации, со стороны дворовых территорий - со стороны внутриквартального проезда транспортных средств;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на глухих ограждениях - справа от главного входа, въезда (высота установки адресных указателей регламентируется высотой ограждения, верхняя граница адресного указателя должна быть ниже верхней границы ограждения не более 0,1 м);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на ограждениях индивидуальных жилых домов справа от главного входа, въезда (высота установки адресных указателей регламентируется высотой ограждения, верхняя граница адресного указателя должна быть ниже верхней границы ограждения не более 0,1 м);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допускается размещение адресных указателей с внутренней подсветкой в виде единого светового модуля.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 случаях технической невозможности установки адресных указателей согласно требованиям установки, указанным в настоящем пункте, допускаются иные места их установки, которые согласовываются с комитетом по развитию городского хозяйства администрации города Мурманска и комитетом градостроительства и территориального развития администрации города Мурманска.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2.2. Не допускается: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размещение рядом с адресными указателями конструкций и объектов, затрудняющих восприятие адресных указателей;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- размещение адресных указателей, не соответствующих внешнему виду, </w:t>
      </w: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установленному настоящими Правилами;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размещение адресных указателей в местах, затрудняющих их восприятие, на элементах декора, карнизах, воротах;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произвольное перемещение адресных указателей с установленного места.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2.3. Адресные указатели приобретаются и устанавливаются: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на объектах адресации, учитываемых в составе муниципальной казны, - за счет средств бюджета муниципального образования город Мурманск;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на многоквартирных домах - за счет средств бюджета муниципального образования город Мурманск;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на зданиях и сооружениях, принадлежащих юридическим и физическим лицам, - за счет средств указанных лиц;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на индивидуальных жилых домах - за счет сре</w:t>
      </w:r>
      <w:proofErr w:type="gram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дств вл</w:t>
      </w:r>
      <w:proofErr w:type="gram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адельцев указанных домов.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2.4. Адресные указатели должны содержаться в чистоте и исправном состоянии: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на объектах адресации, учитываемых в составе муниципальной казны, - за счет средств бюджета муниципального образования город Мурманск;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на многоквартирных домах - за счет средств собственников помещений многоквартирного дома;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на зданиях, принадлежащих юридическим и физическим лицам, - за счет средств указанных лиц;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на индивидуальных жилых домах - за счет сре</w:t>
      </w:r>
      <w:proofErr w:type="gram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дств вл</w:t>
      </w:r>
      <w:proofErr w:type="gram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адельцев указанных домов.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center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 Внешний вид адресных указателей</w:t>
      </w:r>
    </w:p>
    <w:p w:rsidR="000D67BA" w:rsidRPr="004904FA" w:rsidRDefault="000D67BA">
      <w:pPr>
        <w:pStyle w:val="ConsPlusNormal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территории города Мурманска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3.1. Тип адресного указателя № 1 предназначен для размещения на объектах адресации, расположенных в общественно-деловом центре исторической части города Мурманска (кроме сооружений инженерной инфраструктуры). Номер объекта адресации пишется в верхнем полукруге указателя. Нижняя линия написания номера совпадает с линией диаметра полукруга. Поле для написания наименования и вида элемента улично-дорожной сети располагается по центру указателя. Наименование элемента улично-дорожной сети выравнивается по центральной вертикальной оси. Транслитерация наименования и вида элемента улично-дорожной сети </w:t>
      </w: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располагается над написанием имени собственного указанного элемента.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Внешний вид адресного указателя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position w:val="-174"/>
          <w:sz w:val="28"/>
          <w:szCs w:val="28"/>
        </w:rPr>
        <w:pict>
          <v:shape id="_x0000_i1025" style="width:309.9pt;height:185.3pt" coordsize="" o:spt="100" adj="0,,0" path="" filled="f" stroked="f">
            <v:stroke joinstyle="miter"/>
            <v:imagedata r:id="rId5" o:title="base_23639_69107_32768"/>
            <v:formulas/>
            <v:path o:connecttype="segments"/>
          </v:shape>
        </w:pic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Габаритные размеры адресного указателя (</w:t>
      </w:r>
      <w:proofErr w:type="gram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мм</w:t>
      </w:r>
      <w:proofErr w:type="gram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position w:val="-220"/>
          <w:sz w:val="28"/>
          <w:szCs w:val="28"/>
        </w:rPr>
        <w:pict>
          <v:shape id="_x0000_i1026" style="width:341.85pt;height:231.05pt" coordsize="" o:spt="100" adj="0,,0" path="" filled="f" stroked="f">
            <v:stroke joinstyle="miter"/>
            <v:imagedata r:id="rId6" o:title="base_23639_69107_32769"/>
            <v:formulas/>
            <v:path o:connecttype="segments"/>
          </v:shape>
        </w:pic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3.2. Тип адресного указателя № 2 предназначен для размещения на объектах адресации, расположенных вне зоны общественно-делового центра исторической части города Мурманска. Номер объекта адресации пишется в нижней части указателя, выравнивается по центральной вертикальной оси. Поле для написания наименования и вида элемента улично-дорожной сети располагается в центральной части верхней половины указателя. Наименование элемента улично-дорожной сети выравнивается по центральной вертикальной оси.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Внешний вид адресного указателя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position w:val="-239"/>
          <w:sz w:val="28"/>
          <w:szCs w:val="28"/>
        </w:rPr>
        <w:pict>
          <v:shape id="_x0000_i1027" style="width:249.8pt;height:250.45pt" coordsize="" o:spt="100" adj="0,,0" path="" filled="f" stroked="f">
            <v:stroke joinstyle="miter"/>
            <v:imagedata r:id="rId7" o:title="base_23639_69107_32770"/>
            <v:formulas/>
            <v:path o:connecttype="segments"/>
          </v:shape>
        </w:pic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Габаритные размеры адресного указателя (</w:t>
      </w:r>
      <w:proofErr w:type="gram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мм</w:t>
      </w:r>
      <w:proofErr w:type="gram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position w:val="-225"/>
          <w:sz w:val="28"/>
          <w:szCs w:val="28"/>
        </w:rPr>
        <w:pict>
          <v:shape id="_x0000_i1028" style="width:248.55pt;height:236.65pt" coordsize="" o:spt="100" adj="0,,0" path="" filled="f" stroked="f">
            <v:stroke joinstyle="miter"/>
            <v:imagedata r:id="rId8" o:title="base_23639_69107_32771"/>
            <v:formulas/>
            <v:path o:connecttype="segments"/>
          </v:shape>
        </w:pict>
      </w:r>
    </w:p>
    <w:p w:rsidR="000D67BA" w:rsidRPr="004904FA" w:rsidRDefault="000D67BA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3.3. Тип адресного указателя № 2 в уменьшенных габаритах предназначен для размещения на индивидуальных жилых домах, сооружениях инженерной инфраструктуры, а также для размещения на объектах адресации, расположенных вне зоны общественно-делового центра исторической части города Мурманска, в случае технической невозможности размещения адресного указателя типа № 2.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bookmarkStart w:id="1" w:name="_GoBack"/>
      <w:bookmarkEnd w:id="1"/>
    </w:p>
    <w:p w:rsidR="000D67BA" w:rsidRPr="004904FA" w:rsidRDefault="000D67BA">
      <w:pPr>
        <w:pStyle w:val="ConsPlusNormal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Внешний вид адресного указателя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position w:val="-230"/>
          <w:sz w:val="28"/>
          <w:szCs w:val="28"/>
        </w:rPr>
        <w:pict>
          <v:shape id="_x0000_i1029" style="width:251.05pt;height:241.65pt" coordsize="" o:spt="100" adj="0,,0" path="" filled="f" stroked="f">
            <v:stroke joinstyle="miter"/>
            <v:imagedata r:id="rId9" o:title="base_23639_69107_32772"/>
            <v:formulas/>
            <v:path o:connecttype="segments"/>
          </v:shape>
        </w:pic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Габаритные размеры адресного указателя (</w:t>
      </w:r>
      <w:proofErr w:type="gram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мм</w:t>
      </w:r>
      <w:proofErr w:type="gram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position w:val="-242"/>
          <w:sz w:val="28"/>
          <w:szCs w:val="28"/>
        </w:rPr>
        <w:pict>
          <v:shape id="_x0000_i1030" style="width:249.2pt;height:253.55pt" coordsize="" o:spt="100" adj="0,,0" path="" filled="f" stroked="f">
            <v:stroke joinstyle="miter"/>
            <v:imagedata r:id="rId10" o:title="base_23639_69107_32773"/>
            <v:formulas/>
            <v:path o:connecttype="segments"/>
          </v:shape>
        </w:pic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center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4. Требования к изготовлению адресных указателей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Материал: композитный материал (композитные панели, состоящие из внутреннего слоя полиэтилена и двух алюминиевых листов, </w:t>
      </w:r>
      <w:proofErr w:type="spell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Dibo№d</w:t>
      </w:r>
      <w:proofErr w:type="spell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или аналоги) толщина 3 - 5 мм.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>Размеры: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- 800 мм x 530 мм - для адресных указателей типа № 1.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- 600 мм x 750 мм - для адресных указателей типа № 2.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- 450 мм x 560 мм - для адресных указателей типа № 2 в уменьшенных габаритах.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Цвет фона: </w:t>
      </w:r>
      <w:proofErr w:type="gram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мягкая</w:t>
      </w:r>
      <w:proofErr w:type="gram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светоотражающая литая ПВХ-пленка, ORALITE 5600, синего цвета (максимально приближенного к цвету PA№TO№E 294C).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Цвет букв: мягкая полихлорвиниловая пленка, ORALITE 641, белого цвета (максимально приближенного к цвету PA№TO№E </w:t>
      </w:r>
      <w:proofErr w:type="spell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Tra№s</w:t>
      </w:r>
      <w:proofErr w:type="spell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spell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White</w:t>
      </w:r>
      <w:proofErr w:type="spell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).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Цвет оформления адресного указателя: кант толщиной 10 мм, выполнен из белой виниловой пленки. Углы окантовки выгнуты, радиус 15 мм. Расстояние между краем адресного указателя и гранью окантовки составляет 10 мм.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Шрифт написания: </w:t>
      </w:r>
      <w:proofErr w:type="spell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Calibri</w:t>
      </w:r>
      <w:proofErr w:type="spell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Размер шрифта для написания вида элемента улично-дорожной сети составляет 180 </w:t>
      </w:r>
      <w:proofErr w:type="spell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pt</w:t>
      </w:r>
      <w:proofErr w:type="spell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Размер шрифта для написания транслитерации имени собственного, транслитерации вида элемента улично-дорожной сети составляет 160 </w:t>
      </w:r>
      <w:proofErr w:type="spell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pt</w:t>
      </w:r>
      <w:proofErr w:type="spell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Для написания собственных имен элементов улично-дорожной сети размер шрифта не устанавливается. Размер шрифта формируется исходя из количества символов в имени собственном наименования элемента улично-дорожной сети, размер шрифта может меняться от минимального размера в 150 </w:t>
      </w:r>
      <w:proofErr w:type="spell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pt</w:t>
      </w:r>
      <w:proofErr w:type="spell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gram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</w:t>
      </w:r>
      <w:proofErr w:type="gram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максимального в 400 </w:t>
      </w:r>
      <w:proofErr w:type="spell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pt</w:t>
      </w:r>
      <w:proofErr w:type="spell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0D67BA" w:rsidRPr="004904FA" w:rsidRDefault="000D67BA">
      <w:pPr>
        <w:pStyle w:val="ConsPlusNormal"/>
        <w:spacing w:before="220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Для написания номеров имен элементов улично-дорожной сети размер шрифта не устанавливается. Размер шрифта формируется исходя из количества цифр и символов, размер шрифта может меняться от минимального написания в 600 </w:t>
      </w:r>
      <w:proofErr w:type="spell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pt</w:t>
      </w:r>
      <w:proofErr w:type="spell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gram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</w:t>
      </w:r>
      <w:proofErr w:type="gram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максимального в 1300 </w:t>
      </w:r>
      <w:proofErr w:type="spell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pt</w:t>
      </w:r>
      <w:proofErr w:type="spell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.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center"/>
        <w:outlineLvl w:val="1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5. Расположение типов адресных указателей</w:t>
      </w:r>
    </w:p>
    <w:p w:rsidR="000D67BA" w:rsidRPr="004904FA" w:rsidRDefault="000D67BA">
      <w:pPr>
        <w:pStyle w:val="ConsPlusNormal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территории города Мурманска</w:t>
      </w:r>
    </w:p>
    <w:p w:rsidR="000D67BA" w:rsidRPr="004904FA" w:rsidRDefault="00EE5406">
      <w:pPr>
        <w:pStyle w:val="ConsPlusNormal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(в ред. постановлений</w:t>
      </w:r>
      <w:r w:rsidR="000D67BA"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администрации города Мурманска</w:t>
      </w:r>
      <w:proofErr w:type="gramEnd"/>
    </w:p>
    <w:p w:rsidR="000D67BA" w:rsidRPr="004904FA" w:rsidRDefault="000D67BA">
      <w:pPr>
        <w:pStyle w:val="ConsPlusNormal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 15.08.2016 № 2460</w:t>
      </w:r>
      <w:r w:rsidR="00EE5406"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, </w:t>
      </w:r>
      <w:r w:rsidR="00EE5406"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от 16.04.2021 № 1023</w:t>
      </w: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)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proofErr w:type="gram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На объектах адресации, фасады которых выходят на: проспект Ленина (дома с № 41 по № 102), улицу Воровского, улицу Дзержинского, улицу Пушкинскую, улицу Капитана Егорова, улицу Коминтерна, улицу Профсоюзов, улицу Комсомольскую, улицу Ленинградскую, улицу </w:t>
      </w: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lastRenderedPageBreak/>
        <w:t xml:space="preserve">Академика </w:t>
      </w:r>
      <w:proofErr w:type="spell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Книповича</w:t>
      </w:r>
      <w:proofErr w:type="spell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от пересечения с проспектом Ленина до пересечения с улицей Шмидта, улицу Шмидта от пересечения с улицей Академика </w:t>
      </w:r>
      <w:proofErr w:type="spell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Книповича</w:t>
      </w:r>
      <w:proofErr w:type="spell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, через улицу Коминтерна до улицы Челюскинцев, улицу Челюскинцев</w:t>
      </w:r>
      <w:proofErr w:type="gram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</w:t>
      </w:r>
      <w:proofErr w:type="gramStart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до пересечения с улицей Карла Либкнехта, улицу Карла Либкнехта от пересечения с улицей Челюскинцев до пересечения с проспектом Ленина, улицу Карла Маркса от улицы Челюскинцев до пересечения с улицей Софьи Перовской, улицу Софьи Перовской от пересечения с улицей Карла Маркса до улицы Комсомольской, улицу Самойловой, переулок Пионерский, улицу Октябрьскую от пересечения с проспектом Ленина до пересечения с улицей Челюскинцев, улицу</w:t>
      </w:r>
      <w:proofErr w:type="gramEnd"/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 xml:space="preserve"> Володарского до пересечения с улицей Челюскинцев, проезд Рыбный, проезд Флотский, бульвар Театральный, устанавливаются указатели типа № 1.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center"/>
        <w:outlineLvl w:val="2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Таблица транслитерации объектов адресации для установки</w:t>
      </w:r>
    </w:p>
    <w:p w:rsidR="000D67BA" w:rsidRPr="004904FA" w:rsidRDefault="000D67BA">
      <w:pPr>
        <w:pStyle w:val="ConsPlusNormal"/>
        <w:jc w:val="center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адресных указателей типа № 1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778"/>
        <w:gridCol w:w="2665"/>
      </w:tblGrid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улица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ulitsa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бульвар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bulvar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переулок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pereulok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проезд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proezd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проспект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prospekt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Академика </w:t>
            </w: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Книповича</w:t>
            </w:r>
            <w:proofErr w:type="spellEnd"/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Akademika</w:t>
            </w:r>
            <w:proofErr w:type="spellEnd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K№ipovicha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Володарского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Volodarskogo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Воровского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Vorovskogo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Дзержинского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Dzerzhi№skogo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Капитана Егорова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Kapita№a</w:t>
            </w:r>
            <w:proofErr w:type="spellEnd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Egorova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Карла Либкнехта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Karla</w:t>
            </w:r>
            <w:proofErr w:type="spellEnd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Libk№ekhta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Карла Маркса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Karla</w:t>
            </w:r>
            <w:proofErr w:type="spellEnd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Marksa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Коминтерна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Komi№ter№a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Комсомольская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Komsomolskaya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Ленина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Le№i№a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Ленинградская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Le№i№gradskaya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lastRenderedPageBreak/>
              <w:t>Октябрьская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Oktyabrskaya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Пионерский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Pio№erskiy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Профсоюзов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Profsoyuzov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Пушкинская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Pushki№skaya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Рыбный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Ryb№yi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Самойловой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Samoylovoy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Софьи Перовской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Sofi</w:t>
            </w:r>
            <w:proofErr w:type="spellEnd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 xml:space="preserve"> </w:t>
            </w: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Perovskoy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Театральный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Teatral№iy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Флотский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Flotskiy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Челюскинцев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Chelyuski№tsev</w:t>
            </w:r>
            <w:proofErr w:type="spellEnd"/>
          </w:p>
        </w:tc>
      </w:tr>
      <w:tr w:rsidR="004904FA" w:rsidRPr="004904FA">
        <w:tc>
          <w:tcPr>
            <w:tcW w:w="2778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Шмидта</w:t>
            </w:r>
          </w:p>
        </w:tc>
        <w:tc>
          <w:tcPr>
            <w:tcW w:w="2665" w:type="dxa"/>
          </w:tcPr>
          <w:p w:rsidR="000D67BA" w:rsidRPr="004904FA" w:rsidRDefault="000D67BA">
            <w:pPr>
              <w:pStyle w:val="ConsPlusNormal"/>
              <w:jc w:val="both"/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</w:pPr>
            <w:proofErr w:type="spellStart"/>
            <w:r w:rsidRPr="004904FA">
              <w:rPr>
                <w:rFonts w:ascii="Times New Roman" w:hAnsi="Times New Roman" w:cs="Times New Roman"/>
                <w:color w:val="0D0D0D" w:themeColor="text1" w:themeTint="F2"/>
                <w:sz w:val="28"/>
                <w:szCs w:val="28"/>
              </w:rPr>
              <w:t>Shmidta</w:t>
            </w:r>
            <w:proofErr w:type="spellEnd"/>
          </w:p>
        </w:tc>
      </w:tr>
    </w:tbl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ind w:firstLine="54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  <w:r w:rsidRPr="004904FA">
        <w:rPr>
          <w:rFonts w:ascii="Times New Roman" w:hAnsi="Times New Roman" w:cs="Times New Roman"/>
          <w:color w:val="0D0D0D" w:themeColor="text1" w:themeTint="F2"/>
          <w:sz w:val="28"/>
          <w:szCs w:val="28"/>
        </w:rPr>
        <w:t>На других объектах адресации устанавливаются адресные указатели типа № 2 (адресные указатели типа № 2 в уменьшенных габаритах).</w:t>
      </w: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0D67BA" w:rsidRPr="004904FA" w:rsidRDefault="000D67BA">
      <w:pPr>
        <w:pStyle w:val="ConsPlusNormal"/>
        <w:pBdr>
          <w:top w:val="single" w:sz="6" w:space="0" w:color="auto"/>
        </w:pBdr>
        <w:spacing w:before="100" w:after="100"/>
        <w:jc w:val="both"/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p w:rsidR="00992290" w:rsidRPr="004904FA" w:rsidRDefault="00992290">
      <w:pPr>
        <w:rPr>
          <w:rFonts w:ascii="Times New Roman" w:hAnsi="Times New Roman" w:cs="Times New Roman"/>
          <w:color w:val="0D0D0D" w:themeColor="text1" w:themeTint="F2"/>
          <w:sz w:val="28"/>
          <w:szCs w:val="28"/>
        </w:rPr>
      </w:pPr>
    </w:p>
    <w:sectPr w:rsidR="00992290" w:rsidRPr="004904FA" w:rsidSect="00D340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67BA"/>
    <w:rsid w:val="000D67BA"/>
    <w:rsid w:val="002A576C"/>
    <w:rsid w:val="00397C3D"/>
    <w:rsid w:val="00472C3A"/>
    <w:rsid w:val="004904FA"/>
    <w:rsid w:val="005E7387"/>
    <w:rsid w:val="00954424"/>
    <w:rsid w:val="00992290"/>
    <w:rsid w:val="00ED610E"/>
    <w:rsid w:val="00EE5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D67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D67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67B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0D67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">
    <w:name w:val="ConsPlusTitle"/>
    <w:rsid w:val="000D67BA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0D67B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10</Pages>
  <Words>1755</Words>
  <Characters>10010</Characters>
  <Application>Microsoft Office Word</Application>
  <DocSecurity>0</DocSecurity>
  <Lines>83</Lines>
  <Paragraphs>23</Paragraphs>
  <ScaleCrop>false</ScaleCrop>
  <Company/>
  <LinksUpToDate>false</LinksUpToDate>
  <CharactersWithSpaces>11742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Беляева Валерия Сергеевна</dc:creator>
  <cp:lastModifiedBy>Беляева Валерия Сергеевна</cp:lastModifiedBy>
  <cp:revision>9</cp:revision>
  <dcterms:created xsi:type="dcterms:W3CDTF">2021-04-20T06:32:00Z</dcterms:created>
  <dcterms:modified xsi:type="dcterms:W3CDTF">2021-04-20T06:46:00Z</dcterms:modified>
</cp:coreProperties>
</file>