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val="en-US" w:eastAsia="en-US"/>
        </w:rPr>
        <w:t>III</w:t>
      </w:r>
      <w:r w:rsidRPr="003D593F">
        <w:rPr>
          <w:szCs w:val="28"/>
          <w:lang w:eastAsia="en-US"/>
        </w:rPr>
        <w:t xml:space="preserve">. Подпрограмма «Создание современной инфраструктуры учреждений молодежной политики города Мурманска» на 2018 – 2024 годы </w:t>
      </w:r>
    </w:p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3D593F">
        <w:rPr>
          <w:rFonts w:eastAsia="Calibri"/>
          <w:bCs/>
          <w:szCs w:val="28"/>
        </w:rPr>
        <w:t>Паспорт подпрограммы</w:t>
      </w: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«Развитие образования» на 2018 – 2024 годы</w:t>
            </w:r>
          </w:p>
        </w:tc>
      </w:tr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FF0000"/>
                <w:szCs w:val="28"/>
              </w:rPr>
            </w:pPr>
            <w:r w:rsidRPr="003D593F">
              <w:rPr>
                <w:rFonts w:eastAsia="Calibri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подпрограммы, м2</w:t>
            </w:r>
          </w:p>
        </w:tc>
      </w:tr>
      <w:tr w:rsidR="003D593F" w:rsidRPr="003D593F" w:rsidTr="0093163A">
        <w:trPr>
          <w:trHeight w:val="1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593F">
              <w:rPr>
                <w:rFonts w:eastAsia="Calibri"/>
                <w:szCs w:val="28"/>
              </w:rPr>
              <w:t>К</w:t>
            </w:r>
            <w:r w:rsidRPr="003D593F">
              <w:rPr>
                <w:szCs w:val="28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Мурманска.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593F">
              <w:rPr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3D593F" w:rsidRPr="003D593F" w:rsidTr="0093163A">
        <w:trPr>
          <w:trHeight w:val="9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3D593F" w:rsidRPr="003D593F" w:rsidTr="0093163A">
        <w:trPr>
          <w:trHeight w:val="8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2018 – 2024 годы</w:t>
            </w:r>
          </w:p>
        </w:tc>
      </w:tr>
      <w:tr w:rsidR="003D593F" w:rsidRPr="003D593F" w:rsidTr="006E4600">
        <w:trPr>
          <w:trHeight w:val="2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 xml:space="preserve">Всего по подпрограмме: 316 706,4 тыс. руб., в </w:t>
            </w:r>
            <w:proofErr w:type="spellStart"/>
            <w:r w:rsidRPr="00ED6B21">
              <w:rPr>
                <w:color w:val="000000"/>
                <w:szCs w:val="28"/>
              </w:rPr>
              <w:t>т.ч</w:t>
            </w:r>
            <w:proofErr w:type="spellEnd"/>
            <w:r w:rsidRPr="00ED6B21">
              <w:rPr>
                <w:color w:val="000000"/>
                <w:szCs w:val="28"/>
              </w:rPr>
              <w:t>.: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МБ: 316 706,4 тыс. руб., из них: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2018 год – 55 598,8 тыс. руб.;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 xml:space="preserve">2019 год – 39 078,6 тыс. руб.; 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2020 год – 102 834,0 тыс. руб.;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2021 год – 113 000,0 тыс. руб.;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2022 год – 2 037,0 тыс. руб.;</w:t>
            </w:r>
          </w:p>
          <w:p w:rsidR="00ED6B21" w:rsidRPr="00ED6B21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2023 год – 2 061,0 тыс. руб.;</w:t>
            </w:r>
          </w:p>
          <w:p w:rsidR="003D593F" w:rsidRPr="003D593F" w:rsidRDefault="00ED6B21" w:rsidP="00ED6B21">
            <w:pPr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lastRenderedPageBreak/>
              <w:t>2024 год – 2 097,0 тыс. руб.</w:t>
            </w:r>
          </w:p>
        </w:tc>
      </w:tr>
      <w:tr w:rsidR="003D593F" w:rsidRPr="003D593F" w:rsidTr="0093163A">
        <w:trPr>
          <w:trHeight w:val="29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</w:t>
            </w:r>
            <w:bookmarkStart w:id="0" w:name="_GoBack"/>
            <w:bookmarkEnd w:id="0"/>
            <w:r w:rsidRPr="003D593F">
              <w:rPr>
                <w:rFonts w:eastAsia="Calibri"/>
                <w:szCs w:val="28"/>
              </w:rPr>
              <w:t>дены ремонтные работы или реконструкция, от общего количества объектов учреждений молодежной политики с нарастающим эффектом по</w:t>
            </w:r>
            <w:r>
              <w:rPr>
                <w:rFonts w:eastAsia="Calibri"/>
                <w:szCs w:val="28"/>
              </w:rPr>
              <w:t xml:space="preserve"> годам реализации подпрограммы </w:t>
            </w:r>
            <w:r w:rsidRPr="003D593F">
              <w:rPr>
                <w:rFonts w:eastAsia="Calibri"/>
                <w:szCs w:val="28"/>
              </w:rPr>
              <w:t>– 46,0 %;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3D593F">
              <w:rPr>
                <w:rFonts w:eastAsia="Calibri"/>
                <w:color w:val="000000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8"/>
              </w:rPr>
            </w:pPr>
            <w:r w:rsidRPr="003D593F">
              <w:rPr>
                <w:rFonts w:eastAsia="Calibri"/>
                <w:color w:val="000000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</w:p>
        </w:tc>
      </w:tr>
    </w:tbl>
    <w:p w:rsidR="003D593F" w:rsidRPr="003D593F" w:rsidRDefault="003D593F" w:rsidP="003D593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33CD1" w:rsidRPr="00CB7011" w:rsidRDefault="00833CD1" w:rsidP="00833CD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833CD1" w:rsidRPr="00CB7011" w:rsidRDefault="00833CD1" w:rsidP="00833CD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Молодежь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На 01.09.2017 система молодежной политики города Мурманска представлена двумя муниципальными учреждениями,</w:t>
      </w:r>
      <w:r>
        <w:rPr>
          <w:rFonts w:cs="Arial"/>
          <w:szCs w:val="28"/>
        </w:rPr>
        <w:t xml:space="preserve"> имеющими</w:t>
      </w:r>
      <w:r w:rsidRPr="00E51A04">
        <w:rPr>
          <w:rFonts w:cs="Arial"/>
          <w:szCs w:val="28"/>
        </w:rPr>
        <w:t xml:space="preserve"> структурные подразделения, которые осуществляют работу с молодежью по различным направлениям –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Опыт реализации подпрограммы «Создание современной инфраструктуры учреждений молодежной политики города Мурманска» на 2018 – 2024 годы муниципальной программы города Мурманска «Развитие образования» на 2018 – 2024 годы подтверждает эффективность и целесообразность создания современных объектов в сфере молодежной политики. В период с 2014 по 2017 годы доля молодежи, вовлеченной в социальную практику, от общей численности молодежи города Мурманска увеличилась с 27,8 % до 74 %, в том числе </w:t>
      </w:r>
      <w:r w:rsidRPr="00E51A04">
        <w:rPr>
          <w:rFonts w:cs="Arial"/>
          <w:szCs w:val="28"/>
        </w:rPr>
        <w:lastRenderedPageBreak/>
        <w:t xml:space="preserve">благодаря проведению модернизации структурных подразделений учреждений молодежной политики. 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Одна из основных задач деятельности </w:t>
      </w:r>
      <w:r>
        <w:rPr>
          <w:rFonts w:cs="Arial"/>
          <w:szCs w:val="28"/>
        </w:rPr>
        <w:t xml:space="preserve">учреждений молодежной политики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проведение работы по вовлечению молодежи в социальную практику, формирование деловой, экономической и политической активности молодежи.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В целях решения данной задачи необходимо продолжить проведение мероприятий, направленных на модернизацию существующих и строительство новых объектов молодежной политики, поддержание современного уровня материально-технической базы учреждений путем своевременного проведения капитального и текущего ремонта объектов, регулярно обновлять материально-техническую базу, использовать актуальные технологии работы с молодежью, проводить мероприятия, направленные на внедрение инновационных технологий в сфере молодежной политики. 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помещений, закуплено необходимое оборудование, с учетом необходимости обеспечения доступности для лиц с ограниченными возможностями здоровья. Будет организована модернизация материально-технической базы учреждений молодежной политики города, а именно: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п</w:t>
      </w:r>
      <w:r w:rsidRPr="00E51A04">
        <w:rPr>
          <w:rFonts w:cs="Arial"/>
          <w:szCs w:val="28"/>
        </w:rPr>
        <w:t>роведение капитального ремонта объектов структурных подразделений МАУ МП «Объединение молодежных центров» по адресам: ул. Ломоносова, д. 17 кор</w:t>
      </w:r>
      <w:r>
        <w:rPr>
          <w:rFonts w:cs="Arial"/>
          <w:szCs w:val="28"/>
        </w:rPr>
        <w:t>п. 2, ул. Виктора Миронова, д. 8;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п</w:t>
      </w:r>
      <w:r w:rsidRPr="00E51A04">
        <w:rPr>
          <w:rFonts w:cs="Arial"/>
          <w:szCs w:val="28"/>
        </w:rPr>
        <w:t>роведение текущего ремонта структурных подразделений МАУ МП «Объединение молодежных центров», расположенных</w:t>
      </w:r>
      <w:r w:rsidRPr="00E51A04">
        <w:rPr>
          <w:sz w:val="20"/>
        </w:rPr>
        <w:t xml:space="preserve"> </w:t>
      </w:r>
      <w:r w:rsidRPr="00E51A04">
        <w:rPr>
          <w:rFonts w:cs="Arial"/>
          <w:szCs w:val="28"/>
        </w:rPr>
        <w:t>по адресам: ул. Шабалина, д. 39, ул. Марата, д. 21, переулок Якорный, д. 10</w:t>
      </w:r>
      <w:r>
        <w:rPr>
          <w:rFonts w:cs="Arial"/>
          <w:szCs w:val="28"/>
        </w:rPr>
        <w:t>, ул. Ломоносова, д. 17 корп. 1;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о</w:t>
      </w:r>
      <w:r w:rsidRPr="00E51A04">
        <w:rPr>
          <w:rFonts w:cs="Arial"/>
          <w:szCs w:val="28"/>
        </w:rPr>
        <w:t>снащение современным оборудованием, техникой, инвентарем и предметами интерьера структурных подразделений МАУ МП «Объединение молодежных центров», расположенных</w:t>
      </w:r>
      <w:r w:rsidRPr="00E51A04">
        <w:rPr>
          <w:sz w:val="20"/>
        </w:rPr>
        <w:t xml:space="preserve"> </w:t>
      </w:r>
      <w:r w:rsidRPr="00E51A04">
        <w:rPr>
          <w:rFonts w:cs="Arial"/>
          <w:szCs w:val="28"/>
        </w:rPr>
        <w:t xml:space="preserve">по адресам: ул. Виктора Миронова, д. 8, ул. Шабалина, д. 39, ул. Марата, д. 21, ул. Марата, д. 16, переулок </w:t>
      </w:r>
      <w:proofErr w:type="gramStart"/>
      <w:r w:rsidRPr="00E51A04">
        <w:rPr>
          <w:rFonts w:cs="Arial"/>
          <w:szCs w:val="28"/>
        </w:rPr>
        <w:t xml:space="preserve">Якорный,   </w:t>
      </w:r>
      <w:proofErr w:type="gramEnd"/>
      <w:r w:rsidRPr="00E51A04">
        <w:rPr>
          <w:rFonts w:cs="Arial"/>
          <w:szCs w:val="28"/>
        </w:rPr>
        <w:t xml:space="preserve">           д. 10, ул. Софьи Перовской, д. 39, ул. Ломоносова, д. 17 корп. 1,                                  ул. Ломоносова, д. 17</w:t>
      </w:r>
      <w:r>
        <w:rPr>
          <w:rFonts w:cs="Arial"/>
          <w:szCs w:val="28"/>
        </w:rPr>
        <w:t xml:space="preserve"> корп. 2, ул. Бондарная, д. 10 а;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- о</w:t>
      </w:r>
      <w:r w:rsidRPr="00E51A04">
        <w:rPr>
          <w:rFonts w:cs="Arial"/>
          <w:szCs w:val="28"/>
        </w:rPr>
        <w:t>существление работ по строительству (реконструкции) объекта               МАУ МП «Дом молодежи», расположенного по адресу ул. Ленинградская, д. 26 (в том числе разработка согласование проектной документации).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Использование программно-целевого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- определения целей, задач и мероприятий;</w:t>
      </w:r>
    </w:p>
    <w:p w:rsidR="00833CD1" w:rsidRPr="00E51A04" w:rsidRDefault="00833CD1" w:rsidP="00833C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833CD1" w:rsidRPr="00E51A04" w:rsidRDefault="00833CD1" w:rsidP="00833CD1">
      <w:pPr>
        <w:ind w:firstLine="708"/>
        <w:jc w:val="both"/>
        <w:rPr>
          <w:szCs w:val="28"/>
        </w:rPr>
      </w:pPr>
      <w:r w:rsidRPr="00E51A04">
        <w:rPr>
          <w:rFonts w:cs="Arial"/>
          <w:szCs w:val="28"/>
        </w:rPr>
        <w:t>- повышения эффективности деятельности учреждений молодежной политики.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  <w:r w:rsidRPr="003D593F">
        <w:rPr>
          <w:szCs w:val="28"/>
          <w:lang w:eastAsia="ar-SA"/>
        </w:rPr>
        <w:lastRenderedPageBreak/>
        <w:t>2. Основные цели подпрограммы, целевые показатели (индикаторы) реализации подпрограммы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tbl>
      <w:tblPr>
        <w:tblW w:w="10211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567"/>
      </w:tblGrid>
      <w:tr w:rsidR="003D593F" w:rsidRPr="003D593F" w:rsidTr="0093163A">
        <w:trPr>
          <w:trHeight w:val="273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 xml:space="preserve">№ </w:t>
            </w:r>
            <w:r w:rsidRPr="003D593F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 xml:space="preserve">Ед. </w:t>
            </w:r>
            <w:r w:rsidRPr="003D593F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3D593F" w:rsidRPr="003D593F" w:rsidTr="0093163A">
        <w:trPr>
          <w:trHeight w:val="355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47" w:right="-67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3D593F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3D593F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3D593F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83" w:right="-64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3D593F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3D593F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3D593F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48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3D593F" w:rsidRPr="003D593F" w:rsidTr="0093163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2016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2020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2024</w:t>
            </w:r>
          </w:p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3D593F" w:rsidRPr="003D593F" w:rsidTr="0093163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3D593F" w:rsidRPr="003D593F" w:rsidTr="0093163A">
        <w:trPr>
          <w:tblCellSpacing w:w="5" w:type="nil"/>
        </w:trPr>
        <w:tc>
          <w:tcPr>
            <w:tcW w:w="1021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D593F">
              <w:rPr>
                <w:sz w:val="18"/>
                <w:szCs w:val="18"/>
                <w:lang w:eastAsia="ar-SA"/>
              </w:rPr>
              <w:t xml:space="preserve">Цель: </w:t>
            </w:r>
            <w:r w:rsidRPr="003D593F">
              <w:rPr>
                <w:color w:val="000000"/>
                <w:sz w:val="18"/>
                <w:szCs w:val="18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93163A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D593F">
              <w:rPr>
                <w:rFonts w:eastAsia="Calibri"/>
                <w:sz w:val="18"/>
                <w:szCs w:val="18"/>
              </w:rPr>
              <w:t>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6,0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46,0</w:t>
            </w:r>
          </w:p>
        </w:tc>
      </w:tr>
      <w:tr w:rsidR="003D593F" w:rsidRPr="003D593F" w:rsidTr="0093163A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  <w:szCs w:val="18"/>
              </w:rPr>
            </w:pPr>
            <w:r w:rsidRPr="003D593F">
              <w:rPr>
                <w:rFonts w:eastAsia="Calibri"/>
                <w:sz w:val="18"/>
                <w:szCs w:val="18"/>
              </w:rPr>
              <w:t>Доля структурных подразделений</w:t>
            </w:r>
            <w:r w:rsidRPr="003D593F">
              <w:rPr>
                <w:sz w:val="18"/>
                <w:szCs w:val="18"/>
              </w:rPr>
              <w:t xml:space="preserve"> </w:t>
            </w:r>
            <w:r w:rsidRPr="003D593F">
              <w:rPr>
                <w:rFonts w:eastAsia="Calibri"/>
                <w:sz w:val="18"/>
                <w:szCs w:val="1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</w:t>
            </w:r>
            <w:r w:rsidRPr="003D593F">
              <w:rPr>
                <w:sz w:val="18"/>
                <w:szCs w:val="18"/>
              </w:rPr>
              <w:t xml:space="preserve"> </w:t>
            </w:r>
            <w:r w:rsidRPr="003D593F">
              <w:rPr>
                <w:rFonts w:eastAsia="Calibri"/>
                <w:sz w:val="18"/>
                <w:szCs w:val="18"/>
              </w:rPr>
              <w:t>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%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3D593F" w:rsidRPr="003D593F" w:rsidTr="0093163A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D593F">
              <w:rPr>
                <w:sz w:val="18"/>
                <w:szCs w:val="18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3D593F">
              <w:rPr>
                <w:rFonts w:eastAsia="Calibri"/>
                <w:sz w:val="18"/>
                <w:szCs w:val="18"/>
              </w:rPr>
              <w:t>учреждений молодежной политики</w:t>
            </w:r>
            <w:r w:rsidRPr="003D593F">
              <w:rPr>
                <w:color w:val="000000"/>
                <w:sz w:val="18"/>
                <w:szCs w:val="18"/>
                <w:lang w:eastAsia="en-US"/>
              </w:rPr>
              <w:t xml:space="preserve"> с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м2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3D593F">
              <w:rPr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3D593F">
              <w:rPr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3D593F">
              <w:rPr>
                <w:color w:val="000000"/>
                <w:sz w:val="18"/>
                <w:szCs w:val="18"/>
                <w:lang w:eastAsia="ar-SA"/>
              </w:rPr>
              <w:t>75,1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3D593F">
              <w:rPr>
                <w:color w:val="000000"/>
                <w:sz w:val="18"/>
                <w:szCs w:val="18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14"/>
              <w:jc w:val="center"/>
              <w:rPr>
                <w:color w:val="000000"/>
                <w:sz w:val="18"/>
                <w:szCs w:val="18"/>
              </w:rPr>
            </w:pPr>
            <w:r w:rsidRPr="003D593F">
              <w:rPr>
                <w:color w:val="000000"/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</w:tr>
    </w:tbl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720"/>
        <w:jc w:val="both"/>
        <w:rPr>
          <w:sz w:val="20"/>
          <w:highlight w:val="cyan"/>
        </w:rPr>
        <w:sectPr w:rsidR="003D593F" w:rsidRPr="003D593F" w:rsidSect="004E2D5A">
          <w:headerReference w:type="even" r:id="rId8"/>
          <w:headerReference w:type="default" r:id="rId9"/>
          <w:pgSz w:w="11905" w:h="16838" w:code="9"/>
          <w:pgMar w:top="814" w:right="851" w:bottom="1134" w:left="1134" w:header="397" w:footer="198" w:gutter="0"/>
          <w:pgNumType w:start="1"/>
          <w:cols w:space="720"/>
          <w:titlePg/>
          <w:docGrid w:linePitch="381"/>
        </w:sectPr>
      </w:pPr>
    </w:p>
    <w:p w:rsidR="00AF0833" w:rsidRDefault="00AF0833" w:rsidP="00AF083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D72227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AF0833" w:rsidRDefault="00AF0833" w:rsidP="00AF083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876" w:type="dxa"/>
        <w:tblInd w:w="-120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709"/>
        <w:gridCol w:w="849"/>
        <w:gridCol w:w="709"/>
        <w:gridCol w:w="709"/>
        <w:gridCol w:w="720"/>
        <w:gridCol w:w="698"/>
        <w:gridCol w:w="709"/>
        <w:gridCol w:w="708"/>
        <w:gridCol w:w="709"/>
        <w:gridCol w:w="720"/>
        <w:gridCol w:w="709"/>
        <w:gridCol w:w="1548"/>
        <w:gridCol w:w="567"/>
        <w:gridCol w:w="567"/>
        <w:gridCol w:w="567"/>
        <w:gridCol w:w="425"/>
        <w:gridCol w:w="425"/>
        <w:gridCol w:w="567"/>
        <w:gridCol w:w="567"/>
        <w:gridCol w:w="1134"/>
      </w:tblGrid>
      <w:tr w:rsidR="00AF0833" w:rsidRPr="006C7A3A" w:rsidTr="00AF0833">
        <w:trPr>
          <w:trHeight w:val="917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6C7A3A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6C7A3A"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 w:rsidRPr="006C7A3A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6C7A3A">
              <w:rPr>
                <w:rFonts w:eastAsia="Calibri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6C7A3A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C7A3A">
              <w:rPr>
                <w:rFonts w:eastAsia="Calibri"/>
                <w:sz w:val="16"/>
                <w:szCs w:val="16"/>
              </w:rPr>
              <w:t>финан-сирования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6C7A3A">
              <w:rPr>
                <w:rFonts w:eastAsia="Calibri"/>
                <w:sz w:val="16"/>
                <w:szCs w:val="16"/>
              </w:rPr>
              <w:t>Исполнители,  перечень</w:t>
            </w:r>
            <w:proofErr w:type="gramEnd"/>
            <w:r w:rsidRPr="006C7A3A">
              <w:rPr>
                <w:rFonts w:eastAsia="Calibri"/>
                <w:sz w:val="16"/>
                <w:szCs w:val="16"/>
              </w:rPr>
              <w:t xml:space="preserve"> организаций, участвующих в реализации основных мероприятий</w:t>
            </w:r>
          </w:p>
        </w:tc>
      </w:tr>
      <w:tr w:rsidR="00AF0833" w:rsidRPr="006C7A3A" w:rsidTr="00AF0833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C7A3A" w:rsidRDefault="00AF0833" w:rsidP="00AF0833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C7A3A" w:rsidRDefault="00AF0833" w:rsidP="00AF083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C7A3A" w:rsidRDefault="00AF0833" w:rsidP="00AF08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C7A3A" w:rsidRDefault="00AF0833" w:rsidP="00AF08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2020</w:t>
            </w:r>
          </w:p>
          <w:p w:rsidR="00AF0833" w:rsidRPr="006C7A3A" w:rsidRDefault="00AF0833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2024</w:t>
            </w:r>
          </w:p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2020</w:t>
            </w:r>
          </w:p>
          <w:p w:rsidR="00AF0833" w:rsidRPr="006C7A3A" w:rsidRDefault="00AF0833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2024</w:t>
            </w:r>
          </w:p>
          <w:p w:rsidR="00AF0833" w:rsidRPr="006C7A3A" w:rsidRDefault="00AF0833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C7A3A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C7A3A" w:rsidRDefault="00AF0833" w:rsidP="00AF0833">
            <w:pPr>
              <w:rPr>
                <w:sz w:val="16"/>
                <w:szCs w:val="16"/>
              </w:rPr>
            </w:pPr>
          </w:p>
        </w:tc>
      </w:tr>
      <w:tr w:rsidR="00AF0833" w:rsidRPr="006C7A3A" w:rsidTr="00AF0833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AF0833" w:rsidRPr="006C7A3A" w:rsidTr="00AF0833">
        <w:trPr>
          <w:trHeight w:val="118"/>
        </w:trPr>
        <w:tc>
          <w:tcPr>
            <w:tcW w:w="1587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AF0833" w:rsidRPr="006C7A3A" w:rsidTr="00AF0833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rPr>
                <w:color w:val="000000"/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 xml:space="preserve">развитие материально-технической </w:t>
            </w:r>
            <w:proofErr w:type="gramStart"/>
            <w:r w:rsidRPr="006C7A3A">
              <w:rPr>
                <w:color w:val="000000"/>
                <w:sz w:val="16"/>
                <w:szCs w:val="16"/>
                <w:lang w:eastAsia="en-US"/>
              </w:rPr>
              <w:t>базы  учреждений</w:t>
            </w:r>
            <w:proofErr w:type="gramEnd"/>
            <w:r w:rsidRPr="006C7A3A">
              <w:rPr>
                <w:color w:val="000000"/>
                <w:sz w:val="16"/>
                <w:szCs w:val="16"/>
                <w:lang w:eastAsia="en-US"/>
              </w:rPr>
              <w:t xml:space="preserve">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Всего:</w:t>
            </w:r>
          </w:p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C7A3A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C7A3A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316706,4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39078,6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102834,0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 xml:space="preserve">Количество отремонтированных, </w:t>
            </w:r>
          </w:p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75"/>
              <w:rPr>
                <w:color w:val="000000"/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>КСПООДМ,</w:t>
            </w:r>
          </w:p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 xml:space="preserve">МАУ МП «Объединение молодежных центров», </w:t>
            </w:r>
            <w:r w:rsidRPr="006C7A3A">
              <w:rPr>
                <w:sz w:val="16"/>
                <w:szCs w:val="16"/>
                <w:lang w:eastAsia="en-US"/>
              </w:rPr>
              <w:t xml:space="preserve">МАУ МП «Дом молодежи», </w:t>
            </w:r>
          </w:p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AF0833" w:rsidRPr="006C7A3A" w:rsidTr="00AF0833">
        <w:trPr>
          <w:trHeight w:val="2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316706,4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39078,6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102834,0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</w:p>
        </w:tc>
      </w:tr>
      <w:tr w:rsidR="00AF0833" w:rsidRPr="006C7A3A" w:rsidTr="00AF0833">
        <w:trPr>
          <w:trHeight w:val="5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Всего:</w:t>
            </w:r>
          </w:p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C7A3A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C7A3A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27928,4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13483,4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28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75" w:right="-83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центров, </w:t>
            </w:r>
          </w:p>
          <w:p w:rsidR="00AF0833" w:rsidRPr="006C7A3A" w:rsidRDefault="00AF0833" w:rsidP="00AF0833">
            <w:pPr>
              <w:ind w:left="-75" w:right="-83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AF0833" w:rsidRPr="006C7A3A" w:rsidTr="00AF0833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27928,4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13483,4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AF0833" w:rsidRPr="006C7A3A" w:rsidTr="00AF0833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28" w:right="-103"/>
              <w:rPr>
                <w:sz w:val="16"/>
                <w:szCs w:val="16"/>
                <w:lang w:eastAsia="en-US"/>
              </w:rPr>
            </w:pPr>
            <w:proofErr w:type="gramStart"/>
            <w:r w:rsidRPr="006C7A3A">
              <w:rPr>
                <w:sz w:val="16"/>
                <w:szCs w:val="16"/>
                <w:lang w:eastAsia="en-US"/>
              </w:rPr>
              <w:t>Количество структурных подразделений</w:t>
            </w:r>
            <w:proofErr w:type="gramEnd"/>
            <w:r w:rsidRPr="006C7A3A">
              <w:rPr>
                <w:sz w:val="16"/>
                <w:szCs w:val="16"/>
              </w:rPr>
              <w:t xml:space="preserve"> </w:t>
            </w:r>
            <w:r w:rsidRPr="006C7A3A">
              <w:rPr>
                <w:sz w:val="16"/>
                <w:szCs w:val="16"/>
                <w:lang w:eastAsia="en-US"/>
              </w:rPr>
              <w:t>в которых проведен текущий ремонт,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F0833" w:rsidRPr="006C7A3A" w:rsidTr="00AF0833">
        <w:trPr>
          <w:trHeight w:val="3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28" w:right="-103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 xml:space="preserve">Осуществление работ по присоединению к электрическим сетям </w:t>
            </w:r>
            <w:proofErr w:type="spellStart"/>
            <w:r w:rsidRPr="006C7A3A">
              <w:rPr>
                <w:color w:val="000000"/>
                <w:sz w:val="16"/>
                <w:szCs w:val="16"/>
              </w:rPr>
              <w:t>энергопринимающих</w:t>
            </w:r>
            <w:proofErr w:type="spellEnd"/>
            <w:r w:rsidRPr="006C7A3A">
              <w:rPr>
                <w:color w:val="000000"/>
                <w:sz w:val="16"/>
                <w:szCs w:val="16"/>
              </w:rPr>
              <w:t xml:space="preserve"> устройств объекта по адресу</w:t>
            </w:r>
            <w:r>
              <w:rPr>
                <w:color w:val="000000"/>
                <w:sz w:val="16"/>
                <w:szCs w:val="16"/>
              </w:rPr>
              <w:t>:</w:t>
            </w:r>
            <w:r w:rsidRPr="006C7A3A">
              <w:rPr>
                <w:color w:val="000000"/>
                <w:sz w:val="16"/>
                <w:szCs w:val="16"/>
              </w:rPr>
              <w:t xml:space="preserve"> ул. </w:t>
            </w:r>
            <w:proofErr w:type="gramStart"/>
            <w:r w:rsidRPr="006C7A3A">
              <w:rPr>
                <w:color w:val="000000"/>
                <w:sz w:val="16"/>
                <w:szCs w:val="16"/>
              </w:rPr>
              <w:t>Ленинградская</w:t>
            </w:r>
            <w:r>
              <w:rPr>
                <w:color w:val="000000"/>
                <w:sz w:val="16"/>
                <w:szCs w:val="16"/>
              </w:rPr>
              <w:t xml:space="preserve">,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6C7A3A">
              <w:rPr>
                <w:color w:val="000000"/>
                <w:sz w:val="16"/>
                <w:szCs w:val="16"/>
              </w:rPr>
              <w:t xml:space="preserve"> дом 26</w:t>
            </w:r>
          </w:p>
          <w:p w:rsidR="00AF0833" w:rsidRPr="006C7A3A" w:rsidRDefault="00AF0833" w:rsidP="00AF0833">
            <w:pPr>
              <w:ind w:left="-28" w:right="-103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(да-1, нет 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F0833" w:rsidRPr="006C7A3A" w:rsidTr="00AF0833">
        <w:trPr>
          <w:trHeight w:val="49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Всего:</w:t>
            </w:r>
          </w:p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C7A3A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C7A3A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33965,4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C7A3A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rPr>
                <w:rFonts w:eastAsia="Calibri"/>
                <w:sz w:val="16"/>
                <w:szCs w:val="16"/>
              </w:rPr>
            </w:pPr>
            <w:r w:rsidRPr="006C7A3A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AF0833" w:rsidRPr="006C7A3A" w:rsidTr="00AF0833">
        <w:trPr>
          <w:trHeight w:val="24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33965,4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F0833" w:rsidRPr="006C7A3A" w:rsidTr="00AF0833">
        <w:trPr>
          <w:trHeight w:val="24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Строительство (реконструкция) </w:t>
            </w:r>
            <w:r w:rsidRPr="006C7A3A">
              <w:rPr>
                <w:rFonts w:eastAsia="Calibri"/>
                <w:sz w:val="16"/>
                <w:szCs w:val="16"/>
              </w:rPr>
              <w:lastRenderedPageBreak/>
              <w:t xml:space="preserve">объектов молодежной политики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Всего:</w:t>
            </w:r>
          </w:p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C7A3A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C7A3A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254812,6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10980,0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right="-75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99834,0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right="-75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0,0</w:t>
            </w:r>
          </w:p>
        </w:tc>
        <w:tc>
          <w:tcPr>
            <w:tcW w:w="52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F0833" w:rsidRPr="006C7A3A" w:rsidTr="00AF0833">
        <w:trPr>
          <w:trHeight w:val="193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34978,6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right="-75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right="-75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Default="00AF0833" w:rsidP="00AF0833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 xml:space="preserve">Разработка проектной и рабочей документации по объекту «Приспособление объекта культурного наследия «Здание кинотеатра «Родина» под </w:t>
            </w:r>
            <w:r>
              <w:rPr>
                <w:sz w:val="16"/>
                <w:szCs w:val="16"/>
                <w:lang w:eastAsia="en-US"/>
              </w:rPr>
              <w:t xml:space="preserve">объект </w:t>
            </w:r>
            <w:r w:rsidRPr="006C7A3A">
              <w:rPr>
                <w:sz w:val="16"/>
                <w:szCs w:val="16"/>
                <w:lang w:eastAsia="en-US"/>
              </w:rPr>
              <w:t xml:space="preserve">«Дворец молодёжи» </w:t>
            </w:r>
          </w:p>
          <w:p w:rsidR="00AF0833" w:rsidRPr="006C7A3A" w:rsidRDefault="00AF0833" w:rsidP="00AF0833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 xml:space="preserve">(да – 1, нет – 0)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1</w:t>
            </w:r>
          </w:p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rPr>
                <w:rFonts w:eastAsia="Calibri"/>
                <w:sz w:val="16"/>
                <w:szCs w:val="16"/>
              </w:rPr>
            </w:pPr>
            <w:r w:rsidRPr="006C7A3A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AF0833" w:rsidRPr="006C7A3A" w:rsidRDefault="00AF0833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F0833" w:rsidRPr="006C7A3A" w:rsidTr="00AF0833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219834,0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right="-75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99834,0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right="-75"/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110000,0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C7A3A" w:rsidRDefault="00AF0833" w:rsidP="00AF0833">
            <w:pPr>
              <w:ind w:left="-28"/>
              <w:rPr>
                <w:sz w:val="16"/>
                <w:szCs w:val="16"/>
              </w:rPr>
            </w:pPr>
            <w:r w:rsidRPr="006C7A3A">
              <w:rPr>
                <w:sz w:val="16"/>
                <w:szCs w:val="16"/>
              </w:rPr>
              <w:t xml:space="preserve">Осуществление работ по приспособлению объекта культурного наследия «Здание кинотеатра «Родина» под </w:t>
            </w:r>
            <w:r>
              <w:rPr>
                <w:sz w:val="16"/>
                <w:szCs w:val="16"/>
              </w:rPr>
              <w:t xml:space="preserve">объект </w:t>
            </w:r>
            <w:r w:rsidRPr="006C7A3A">
              <w:rPr>
                <w:sz w:val="16"/>
                <w:szCs w:val="16"/>
              </w:rPr>
              <w:t>«Дворец молодежи» (да-1, нет 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AF0833" w:rsidRPr="006C7A3A" w:rsidTr="00AF0833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C7A3A" w:rsidRDefault="00AF0833" w:rsidP="00AF0833">
            <w:pPr>
              <w:ind w:left="-28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6C7A3A">
              <w:rPr>
                <w:sz w:val="16"/>
                <w:szCs w:val="16"/>
              </w:rPr>
              <w:t>объектов</w:t>
            </w:r>
            <w:proofErr w:type="gramEnd"/>
            <w:r w:rsidRPr="006C7A3A">
              <w:rPr>
                <w:sz w:val="16"/>
                <w:szCs w:val="16"/>
              </w:rPr>
              <w:t xml:space="preserve"> приспособленных под учреждения молодежной политики,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6C7A3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rPr>
                <w:sz w:val="16"/>
                <w:szCs w:val="16"/>
                <w:lang w:eastAsia="en-US"/>
              </w:rPr>
            </w:pPr>
          </w:p>
        </w:tc>
      </w:tr>
      <w:tr w:rsidR="00AF0833" w:rsidRPr="006C7A3A" w:rsidTr="00AF0833">
        <w:trPr>
          <w:trHeight w:val="267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Всего:</w:t>
            </w:r>
          </w:p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C7A3A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C7A3A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316706,4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39078,6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102834,0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63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F0833" w:rsidRPr="006C7A3A" w:rsidTr="00AF0833">
        <w:trPr>
          <w:trHeight w:val="166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C7A3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316706,4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C7A3A">
              <w:rPr>
                <w:color w:val="000000"/>
                <w:sz w:val="16"/>
                <w:szCs w:val="16"/>
              </w:rPr>
              <w:t>39078,6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102834,0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7A3A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636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C7A3A" w:rsidRDefault="00AF0833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AF0833" w:rsidRPr="006C7A3A" w:rsidRDefault="00AF0833" w:rsidP="00AF0833">
      <w:pPr>
        <w:rPr>
          <w:sz w:val="16"/>
          <w:szCs w:val="16"/>
          <w:lang w:eastAsia="en-US"/>
        </w:rPr>
      </w:pPr>
    </w:p>
    <w:p w:rsidR="003D593F" w:rsidRDefault="003D593F" w:rsidP="003D593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3. Перечень основных мероприятий подпрограммы </w:t>
      </w:r>
    </w:p>
    <w:tbl>
      <w:tblPr>
        <w:tblW w:w="16027" w:type="dxa"/>
        <w:tblInd w:w="-120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709"/>
        <w:gridCol w:w="849"/>
        <w:gridCol w:w="709"/>
        <w:gridCol w:w="709"/>
        <w:gridCol w:w="720"/>
        <w:gridCol w:w="698"/>
        <w:gridCol w:w="709"/>
        <w:gridCol w:w="708"/>
        <w:gridCol w:w="709"/>
        <w:gridCol w:w="720"/>
        <w:gridCol w:w="709"/>
        <w:gridCol w:w="1701"/>
        <w:gridCol w:w="555"/>
        <w:gridCol w:w="567"/>
        <w:gridCol w:w="569"/>
        <w:gridCol w:w="427"/>
        <w:gridCol w:w="433"/>
        <w:gridCol w:w="567"/>
        <w:gridCol w:w="567"/>
        <w:gridCol w:w="1132"/>
      </w:tblGrid>
      <w:tr w:rsidR="00833CD1" w:rsidRPr="009F333F" w:rsidTr="00833CD1">
        <w:trPr>
          <w:trHeight w:val="917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9F333F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9F333F"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 w:rsidRPr="009F333F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9F333F">
              <w:rPr>
                <w:rFonts w:eastAsia="Calibri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9F333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9F333F">
              <w:rPr>
                <w:rFonts w:eastAsia="Calibri"/>
                <w:sz w:val="16"/>
                <w:szCs w:val="16"/>
              </w:rPr>
              <w:t>финан-сирования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9F333F">
              <w:rPr>
                <w:rFonts w:eastAsia="Calibri"/>
                <w:sz w:val="16"/>
                <w:szCs w:val="16"/>
              </w:rPr>
              <w:t>Исполнители,  перечень</w:t>
            </w:r>
            <w:proofErr w:type="gramEnd"/>
            <w:r w:rsidRPr="009F333F">
              <w:rPr>
                <w:rFonts w:eastAsia="Calibri"/>
                <w:sz w:val="16"/>
                <w:szCs w:val="16"/>
              </w:rPr>
              <w:t xml:space="preserve"> организаций, участвующих в реализации основных мероприятий</w:t>
            </w:r>
          </w:p>
        </w:tc>
      </w:tr>
      <w:tr w:rsidR="00833CD1" w:rsidRPr="009F333F" w:rsidTr="00833CD1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F333F" w:rsidRDefault="00833CD1" w:rsidP="00AF0833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F333F" w:rsidRDefault="00833CD1" w:rsidP="00AF083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F333F" w:rsidRDefault="00833CD1" w:rsidP="00AF08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F333F" w:rsidRDefault="00833CD1" w:rsidP="00AF08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2020</w:t>
            </w:r>
          </w:p>
          <w:p w:rsidR="00833CD1" w:rsidRPr="009F333F" w:rsidRDefault="00833CD1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2024</w:t>
            </w:r>
          </w:p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2020</w:t>
            </w:r>
          </w:p>
          <w:p w:rsidR="00833CD1" w:rsidRPr="009F333F" w:rsidRDefault="00833CD1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2024</w:t>
            </w:r>
          </w:p>
          <w:p w:rsidR="00833CD1" w:rsidRPr="009F333F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F33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F333F" w:rsidRDefault="00833CD1" w:rsidP="00AF0833">
            <w:pPr>
              <w:rPr>
                <w:sz w:val="16"/>
                <w:szCs w:val="16"/>
              </w:rPr>
            </w:pPr>
          </w:p>
        </w:tc>
      </w:tr>
      <w:tr w:rsidR="00833CD1" w:rsidRPr="009F333F" w:rsidTr="00833CD1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833CD1" w:rsidRPr="009F333F" w:rsidTr="00833CD1">
        <w:trPr>
          <w:trHeight w:val="118"/>
        </w:trPr>
        <w:tc>
          <w:tcPr>
            <w:tcW w:w="160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833CD1" w:rsidRPr="009F333F" w:rsidTr="00833CD1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rPr>
                <w:color w:val="000000"/>
                <w:sz w:val="16"/>
                <w:szCs w:val="16"/>
                <w:lang w:eastAsia="en-US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 xml:space="preserve">развитие материально-технической </w:t>
            </w:r>
            <w:proofErr w:type="gramStart"/>
            <w:r w:rsidRPr="009F333F">
              <w:rPr>
                <w:color w:val="000000"/>
                <w:sz w:val="16"/>
                <w:szCs w:val="16"/>
                <w:lang w:eastAsia="en-US"/>
              </w:rPr>
              <w:t>базы  учреждений</w:t>
            </w:r>
            <w:proofErr w:type="gramEnd"/>
            <w:r w:rsidRPr="009F333F">
              <w:rPr>
                <w:color w:val="000000"/>
                <w:sz w:val="16"/>
                <w:szCs w:val="16"/>
                <w:lang w:eastAsia="en-US"/>
              </w:rPr>
              <w:t xml:space="preserve">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F333F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F333F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326301,7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38507,9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16"/>
                <w:szCs w:val="16"/>
                <w:lang w:eastAsia="en-US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 xml:space="preserve">Количество отремонтированных, </w:t>
            </w:r>
          </w:p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16"/>
                <w:szCs w:val="16"/>
                <w:lang w:eastAsia="en-US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75"/>
              <w:rPr>
                <w:color w:val="000000"/>
                <w:sz w:val="16"/>
                <w:szCs w:val="16"/>
                <w:lang w:eastAsia="en-US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>КСПООДМ,</w:t>
            </w:r>
          </w:p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>МАУ МП «Объединение молодежных центров», КС, ММКУ «УКС»</w:t>
            </w:r>
          </w:p>
        </w:tc>
      </w:tr>
      <w:tr w:rsidR="00833CD1" w:rsidRPr="009F333F" w:rsidTr="00833CD1">
        <w:trPr>
          <w:trHeight w:val="2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326301,7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38507,9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F333F" w:rsidTr="00833CD1">
        <w:trPr>
          <w:trHeight w:val="5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F333F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F333F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27928,4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13483,4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28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75" w:right="-83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центров, </w:t>
            </w:r>
          </w:p>
          <w:p w:rsidR="00833CD1" w:rsidRPr="009F333F" w:rsidRDefault="00833CD1" w:rsidP="00AF0833">
            <w:pPr>
              <w:ind w:left="-75" w:right="-83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833CD1" w:rsidRPr="009F333F" w:rsidTr="00833CD1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27928,4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13483,4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F333F" w:rsidTr="00833CD1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28" w:right="-103"/>
              <w:rPr>
                <w:sz w:val="16"/>
                <w:szCs w:val="16"/>
                <w:lang w:eastAsia="en-US"/>
              </w:rPr>
            </w:pPr>
            <w:proofErr w:type="gramStart"/>
            <w:r w:rsidRPr="009F333F">
              <w:rPr>
                <w:sz w:val="16"/>
                <w:szCs w:val="16"/>
                <w:lang w:eastAsia="en-US"/>
              </w:rPr>
              <w:t>Количество структурных подразделений</w:t>
            </w:r>
            <w:proofErr w:type="gramEnd"/>
            <w:r w:rsidRPr="009F333F">
              <w:rPr>
                <w:sz w:val="16"/>
                <w:szCs w:val="16"/>
              </w:rPr>
              <w:t xml:space="preserve"> </w:t>
            </w:r>
            <w:r w:rsidRPr="009F333F">
              <w:rPr>
                <w:sz w:val="16"/>
                <w:szCs w:val="16"/>
                <w:lang w:eastAsia="en-US"/>
              </w:rPr>
              <w:t>в которых проведен текущий ремонт, ед.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F333F" w:rsidTr="00833CD1">
        <w:trPr>
          <w:trHeight w:val="95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28" w:right="-103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 xml:space="preserve">Осуществление работ по присоединению к электрическим сетям </w:t>
            </w:r>
            <w:proofErr w:type="spellStart"/>
            <w:r w:rsidRPr="009F333F">
              <w:rPr>
                <w:color w:val="000000"/>
                <w:sz w:val="16"/>
                <w:szCs w:val="16"/>
              </w:rPr>
              <w:t>энергопринимающих</w:t>
            </w:r>
            <w:proofErr w:type="spellEnd"/>
            <w:r w:rsidRPr="009F333F">
              <w:rPr>
                <w:color w:val="000000"/>
                <w:sz w:val="16"/>
                <w:szCs w:val="16"/>
              </w:rPr>
              <w:t xml:space="preserve"> устройств объекта по адресу ул. Ленинградская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F333F">
              <w:rPr>
                <w:color w:val="000000"/>
                <w:sz w:val="16"/>
                <w:szCs w:val="16"/>
              </w:rPr>
              <w:t xml:space="preserve"> дом 26</w:t>
            </w:r>
          </w:p>
          <w:p w:rsidR="00833CD1" w:rsidRPr="009F333F" w:rsidRDefault="00833CD1" w:rsidP="00AF0833">
            <w:pPr>
              <w:ind w:left="-28" w:right="-103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(да-1, нет -0)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F333F" w:rsidTr="00833CD1">
        <w:trPr>
          <w:trHeight w:val="49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F333F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F333F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34 374,7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15 024,5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F33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rPr>
                <w:rFonts w:eastAsia="Calibri"/>
                <w:sz w:val="16"/>
                <w:szCs w:val="16"/>
              </w:rPr>
            </w:pPr>
            <w:r w:rsidRPr="009F333F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833CD1" w:rsidRPr="009F333F" w:rsidTr="00833CD1">
        <w:trPr>
          <w:trHeight w:val="24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34 374,7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15 024,5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F333F" w:rsidTr="00833CD1">
        <w:trPr>
          <w:trHeight w:val="30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F333F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F333F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263998,6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right="-75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110000,0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right="-75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 xml:space="preserve">Разработка проектной и рабочей документации по объекту «Приспособление объекта культурного наследия «Здание кинотеатра «Родина» под «Дворец молодёжи» (да – 1, нет – 0) 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1</w:t>
            </w:r>
          </w:p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rPr>
                <w:rFonts w:eastAsia="Calibri"/>
                <w:sz w:val="16"/>
                <w:szCs w:val="16"/>
              </w:rPr>
            </w:pPr>
            <w:r w:rsidRPr="009F333F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833CD1" w:rsidRPr="009F333F" w:rsidRDefault="00833CD1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F333F" w:rsidTr="00833CD1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right="-75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right="-75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28" w:right="-103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</w:tr>
      <w:tr w:rsidR="00833CD1" w:rsidRPr="009F333F" w:rsidTr="00833CD1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230000,0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75" w:right="-75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110000,0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75" w:right="-75"/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110000,0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F333F" w:rsidRDefault="00833CD1" w:rsidP="00AF0833">
            <w:pPr>
              <w:ind w:left="-28" w:right="-103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>Осуществление работ по приспособлению объекта культурного наследия «Здание кинотеатра «Родина» под «Дворец молодежи»</w:t>
            </w:r>
          </w:p>
          <w:p w:rsidR="00833CD1" w:rsidRPr="009F333F" w:rsidRDefault="00833CD1" w:rsidP="00AF0833">
            <w:pPr>
              <w:ind w:left="-28" w:right="-103"/>
              <w:rPr>
                <w:sz w:val="16"/>
                <w:szCs w:val="16"/>
              </w:rPr>
            </w:pPr>
            <w:r w:rsidRPr="009F333F">
              <w:rPr>
                <w:sz w:val="16"/>
                <w:szCs w:val="16"/>
              </w:rPr>
              <w:t xml:space="preserve"> (да-1, нет -0)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833CD1" w:rsidRPr="009F333F" w:rsidTr="00833CD1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F333F" w:rsidRDefault="00833CD1" w:rsidP="00AF0833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9F333F">
              <w:rPr>
                <w:sz w:val="16"/>
                <w:szCs w:val="16"/>
              </w:rPr>
              <w:t>объектов</w:t>
            </w:r>
            <w:proofErr w:type="gramEnd"/>
            <w:r w:rsidRPr="009F333F">
              <w:rPr>
                <w:sz w:val="16"/>
                <w:szCs w:val="16"/>
              </w:rPr>
              <w:t xml:space="preserve"> приспособленных под учреждения молодежной политики, ед.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rPr>
                <w:sz w:val="16"/>
                <w:szCs w:val="16"/>
                <w:lang w:eastAsia="en-US"/>
              </w:rPr>
            </w:pPr>
            <w:r w:rsidRPr="009F333F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833CD1" w:rsidRPr="009F333F" w:rsidTr="00833CD1">
        <w:trPr>
          <w:trHeight w:val="43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F333F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F333F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326301,7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38507,9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65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F333F" w:rsidTr="00833CD1">
        <w:trPr>
          <w:trHeight w:val="166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333F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326301,7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333F">
              <w:rPr>
                <w:color w:val="000000"/>
                <w:sz w:val="16"/>
                <w:szCs w:val="16"/>
              </w:rPr>
              <w:t>38507,9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F333F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65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F333F" w:rsidRDefault="00833CD1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3D593F" w:rsidRPr="003D593F" w:rsidRDefault="003D593F" w:rsidP="003D593F">
      <w:pPr>
        <w:rPr>
          <w:szCs w:val="28"/>
          <w:highlight w:val="cyan"/>
          <w:lang w:eastAsia="en-US"/>
        </w:rPr>
        <w:sectPr w:rsidR="003D593F" w:rsidRPr="003D593F" w:rsidSect="008758E5">
          <w:headerReference w:type="even" r:id="rId10"/>
          <w:headerReference w:type="default" r:id="rId11"/>
          <w:pgSz w:w="16838" w:h="11905" w:orient="landscape" w:code="9"/>
          <w:pgMar w:top="624" w:right="851" w:bottom="426" w:left="1701" w:header="397" w:footer="199" w:gutter="0"/>
          <w:cols w:space="720"/>
          <w:docGrid w:linePitch="381"/>
        </w:sectPr>
      </w:pPr>
    </w:p>
    <w:p w:rsidR="00AF0833" w:rsidRDefault="00AF0833" w:rsidP="00AF0833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AF0833" w:rsidRDefault="00AF0833" w:rsidP="00AF0833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AF0833" w:rsidRPr="009E6B8A" w:rsidRDefault="00AF0833" w:rsidP="00AF0833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9E6B8A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AF0833" w:rsidRPr="009E6B8A" w:rsidRDefault="00AF0833" w:rsidP="00AF0833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9E6B8A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AF0833" w:rsidRPr="009E6B8A" w:rsidRDefault="00AF0833" w:rsidP="00AF0833">
      <w:pPr>
        <w:tabs>
          <w:tab w:val="left" w:pos="10206"/>
        </w:tabs>
        <w:ind w:firstLine="709"/>
        <w:jc w:val="both"/>
        <w:rPr>
          <w:color w:val="000000"/>
          <w:szCs w:val="28"/>
          <w:lang w:eastAsia="en-US"/>
        </w:rPr>
      </w:pPr>
      <w:r w:rsidRPr="009E6B8A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Pr="009E6B8A">
        <w:rPr>
          <w:color w:val="000000"/>
          <w:szCs w:val="28"/>
          <w:lang w:eastAsia="en-US"/>
        </w:rPr>
        <w:t xml:space="preserve">составит </w:t>
      </w:r>
      <w:r w:rsidRPr="009E6B8A">
        <w:rPr>
          <w:color w:val="000000"/>
          <w:szCs w:val="28"/>
        </w:rPr>
        <w:t>316</w:t>
      </w:r>
      <w:r>
        <w:rPr>
          <w:color w:val="000000"/>
          <w:szCs w:val="28"/>
        </w:rPr>
        <w:t xml:space="preserve"> </w:t>
      </w:r>
      <w:r w:rsidRPr="009E6B8A">
        <w:rPr>
          <w:color w:val="000000"/>
          <w:szCs w:val="28"/>
        </w:rPr>
        <w:t xml:space="preserve">706,4 </w:t>
      </w:r>
      <w:r w:rsidRPr="009E6B8A">
        <w:rPr>
          <w:color w:val="000000"/>
          <w:szCs w:val="28"/>
          <w:lang w:eastAsia="en-US"/>
        </w:rPr>
        <w:t>тыс. руб.</w:t>
      </w:r>
    </w:p>
    <w:p w:rsidR="00AF0833" w:rsidRPr="009E6B8A" w:rsidRDefault="00AF0833" w:rsidP="00AF0833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9E6B8A">
        <w:rPr>
          <w:szCs w:val="28"/>
          <w:lang w:eastAsia="en-US"/>
        </w:rPr>
        <w:t xml:space="preserve">Объем финансирования подпрограммы: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F0833" w:rsidRPr="009E6B8A" w:rsidTr="00AF0833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AF0833" w:rsidRPr="009E6B8A" w:rsidTr="00AF0833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9E6B8A" w:rsidRDefault="00AF0833" w:rsidP="00AF0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9E6B8A" w:rsidRDefault="00AF0833" w:rsidP="00AF0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9E6B8A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9</w:t>
            </w:r>
          </w:p>
        </w:tc>
      </w:tr>
      <w:tr w:rsidR="00AF0833" w:rsidRPr="009E6B8A" w:rsidTr="00AF0833">
        <w:trPr>
          <w:trHeight w:val="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E6B8A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316706,4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55598,8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39078,6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102834,0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113000,0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2097,0</w:t>
            </w: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E6B8A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E6B8A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316706,4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55598,8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39078,6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102834,0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113000,0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2097,0</w:t>
            </w: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E6B8A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E6B8A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62907,0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36248,6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14463,4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2097,0</w:t>
            </w: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E6B8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E6B8A">
              <w:rPr>
                <w:color w:val="000000"/>
                <w:sz w:val="18"/>
                <w:szCs w:val="18"/>
              </w:rPr>
              <w:t>. 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62907,0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36248,6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14463,4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F5A01">
              <w:rPr>
                <w:rFonts w:eastAsia="Calibri"/>
                <w:color w:val="000000"/>
                <w:sz w:val="18"/>
                <w:szCs w:val="18"/>
              </w:rPr>
              <w:t>2097,0</w:t>
            </w: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E6B8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E6B8A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253799,4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19350,2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24615,2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99834,0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110000,0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E6B8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E6B8A">
              <w:rPr>
                <w:color w:val="000000"/>
                <w:sz w:val="18"/>
                <w:szCs w:val="18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253799,4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19350,2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24615,2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99834,0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110000,0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F0833" w:rsidRPr="009E6B8A" w:rsidTr="00AF083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9E6B8A" w:rsidRDefault="00AF0833" w:rsidP="00AF08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E6B8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E6B8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E6B8A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219834,0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99834,0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110000,0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AF5A01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5A01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3D593F" w:rsidRDefault="003D593F" w:rsidP="003D593F">
      <w:pPr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5. Механизм реализации подпрограммы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Комитет по социальной поддержке, взаимодействию с общественными организациями и делам молодежи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Мурманское муниципальное казенное учреждение «Управление капитального строительства» обеспечивает выполнение мероприятия «Капитальный ремонт структурных подразделений учреждений молодежной политики» подпрограммы. 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Исполнители подпрограммы в случае необходимости готовят предложения по уточнению программных мероприятий.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Основные исполнители и участники мероприятий подпрограммы: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lastRenderedPageBreak/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муниципальные учреждения молодежной политики;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- </w:t>
      </w:r>
      <w:r w:rsidRPr="003D593F">
        <w:rPr>
          <w:szCs w:val="28"/>
        </w:rPr>
        <w:t>комитет по строительству администрации города Мурманска</w:t>
      </w:r>
      <w:r w:rsidRPr="003D593F">
        <w:rPr>
          <w:szCs w:val="28"/>
          <w:lang w:eastAsia="ar-SA"/>
        </w:rPr>
        <w:t>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Мурманское муниципальное казенное учреждение «Управление капитального строительства».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По итогам работы заказчиком заказчику-координатору подпрограммы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«Развитие образования» на 2018 - 2024 годы в соответствии с Порядком разработки, реализации и оценки эффективности муниципальных программ города Мурманска.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3D593F" w:rsidRDefault="003D593F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6. Оценка эффективности подпрограммы, рисков ее реализации</w:t>
      </w:r>
    </w:p>
    <w:p w:rsidR="005135CC" w:rsidRPr="003D593F" w:rsidRDefault="005135CC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улучшение эмоциональной и интеллектуальной атмосферы среди молодежи;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сохранение численности молодежи, посещающей учреждения молодежной политики;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повышение престижа учреждений молодежной политики.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природные и техногенные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экологические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эпидемии.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Внутренние риски реализации подпрограммы: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lastRenderedPageBreak/>
        <w:t xml:space="preserve">- некачественное составление конкурсной документации в целях размещения муниципального заказа на выполнение мероприятий подпрограммы;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3D593F" w:rsidRPr="003D593F" w:rsidRDefault="003D593F" w:rsidP="003D593F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организациями и делам молодежи администрации города Мурманска конкурсной документации, представляемой</w:t>
      </w:r>
      <w:r w:rsidRPr="003D593F">
        <w:rPr>
          <w:szCs w:val="28"/>
        </w:rPr>
        <w:t xml:space="preserve"> </w:t>
      </w:r>
      <w:r w:rsidRPr="003D593F">
        <w:rPr>
          <w:szCs w:val="28"/>
          <w:lang w:eastAsia="en-US"/>
        </w:rPr>
        <w:t>учреждениями молодежной политики;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контроля за проведением ремонта непосредственно на объекте;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временно размещать сотрудников структурных подразделений учреждений молодежной политики в действующих структурных подразделениях в том случае,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3D593F" w:rsidRPr="003D593F" w:rsidRDefault="003D593F" w:rsidP="003D593F">
      <w:pPr>
        <w:shd w:val="clear" w:color="auto" w:fill="FFFFFF"/>
        <w:ind w:firstLine="709"/>
        <w:jc w:val="both"/>
        <w:rPr>
          <w:szCs w:val="28"/>
        </w:rPr>
      </w:pPr>
      <w:r w:rsidRPr="003D593F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3D593F" w:rsidRPr="003D593F" w:rsidRDefault="003D593F" w:rsidP="003D593F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F86A0E" w:rsidRPr="002A3A3C" w:rsidRDefault="00F86A0E" w:rsidP="004E2D5A">
      <w:pPr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sectPr w:rsidR="00F86A0E" w:rsidRPr="002A3A3C" w:rsidSect="004E2D5A">
      <w:headerReference w:type="default" r:id="rId12"/>
      <w:pgSz w:w="11907" w:h="16840" w:code="9"/>
      <w:pgMar w:top="1134" w:right="851" w:bottom="709" w:left="1418" w:header="720" w:footer="720" w:gutter="0"/>
      <w:pgNumType w:start="5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A0" w:rsidRDefault="000F13A0">
      <w:r>
        <w:separator/>
      </w:r>
    </w:p>
  </w:endnote>
  <w:endnote w:type="continuationSeparator" w:id="0">
    <w:p w:rsidR="000F13A0" w:rsidRDefault="000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A0" w:rsidRDefault="000F13A0">
      <w:r>
        <w:separator/>
      </w:r>
    </w:p>
  </w:footnote>
  <w:footnote w:type="continuationSeparator" w:id="0">
    <w:p w:rsidR="000F13A0" w:rsidRDefault="000F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0833" w:rsidRDefault="00AF08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Pr="00F8141D" w:rsidRDefault="00AF0833" w:rsidP="0093163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0833" w:rsidRDefault="00AF0833">
    <w:pPr>
      <w:pStyle w:val="a8"/>
    </w:pPr>
  </w:p>
  <w:p w:rsidR="00AF0833" w:rsidRDefault="00AF083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93163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C6EF5">
      <w:rPr>
        <w:noProof/>
      </w:rPr>
      <w:t>7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C6EF5">
      <w:rPr>
        <w:noProof/>
      </w:rPr>
      <w:t>52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6C8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2D5A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EF5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D27E40C-991D-4859-A61B-3FE3C94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6F1E-45B4-4651-90EE-70DDC4EA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21384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62</cp:revision>
  <cp:lastPrinted>2018-12-17T13:51:00Z</cp:lastPrinted>
  <dcterms:created xsi:type="dcterms:W3CDTF">2018-12-17T06:27:00Z</dcterms:created>
  <dcterms:modified xsi:type="dcterms:W3CDTF">2019-11-18T11:50:00Z</dcterms:modified>
</cp:coreProperties>
</file>